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39C7" w14:textId="7C897A9A" w:rsidR="00260783" w:rsidRPr="00640B84" w:rsidRDefault="003F2127" w:rsidP="00885B47">
      <w:pPr>
        <w:pStyle w:val="Heading1"/>
      </w:pPr>
      <w:r>
        <w:t xml:space="preserve">Emory University </w:t>
      </w:r>
      <w:r w:rsidR="00260783" w:rsidRPr="00260783">
        <w:t xml:space="preserve">OnCore Dictionary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0"/>
        <w:gridCol w:w="4022"/>
        <w:gridCol w:w="2418"/>
      </w:tblGrid>
      <w:tr w:rsidR="00444BB0" w:rsidRPr="00640B84" w14:paraId="04E9701A" w14:textId="77777777" w:rsidTr="00260783">
        <w:trPr>
          <w:tblHeader/>
          <w:tblCellSpacing w:w="15" w:type="dxa"/>
        </w:trPr>
        <w:tc>
          <w:tcPr>
            <w:tcW w:w="2593" w:type="dxa"/>
            <w:vAlign w:val="center"/>
            <w:hideMark/>
          </w:tcPr>
          <w:p w14:paraId="19E61841" w14:textId="77777777" w:rsidR="00640B84" w:rsidRPr="00640B84" w:rsidRDefault="00640B84" w:rsidP="00640B84">
            <w:pPr>
              <w:spacing w:after="0" w:line="240" w:lineRule="auto"/>
              <w:jc w:val="center"/>
              <w:rPr>
                <w:rFonts w:ascii="Times New Roman" w:eastAsia="Times New Roman" w:hAnsi="Times New Roman" w:cs="Times New Roman"/>
                <w:b/>
                <w:bCs/>
                <w:sz w:val="24"/>
                <w:szCs w:val="24"/>
              </w:rPr>
            </w:pPr>
            <w:r w:rsidRPr="00640B84">
              <w:rPr>
                <w:rFonts w:ascii="Times New Roman" w:eastAsia="Times New Roman" w:hAnsi="Times New Roman" w:cs="Times New Roman"/>
                <w:b/>
                <w:bCs/>
                <w:sz w:val="24"/>
                <w:szCs w:val="24"/>
              </w:rPr>
              <w:t>Term or Acronym</w:t>
            </w:r>
          </w:p>
        </w:tc>
        <w:tc>
          <w:tcPr>
            <w:tcW w:w="4204" w:type="dxa"/>
            <w:vAlign w:val="center"/>
            <w:hideMark/>
          </w:tcPr>
          <w:p w14:paraId="2B3D3E38" w14:textId="77777777" w:rsidR="00640B84" w:rsidRPr="00640B84" w:rsidRDefault="00640B84" w:rsidP="00640B84">
            <w:pPr>
              <w:spacing w:after="0" w:line="240" w:lineRule="auto"/>
              <w:jc w:val="center"/>
              <w:rPr>
                <w:rFonts w:ascii="Times New Roman" w:eastAsia="Times New Roman" w:hAnsi="Times New Roman" w:cs="Times New Roman"/>
                <w:b/>
                <w:bCs/>
                <w:sz w:val="24"/>
                <w:szCs w:val="24"/>
              </w:rPr>
            </w:pPr>
            <w:r w:rsidRPr="00640B84">
              <w:rPr>
                <w:rFonts w:ascii="Times New Roman" w:eastAsia="Times New Roman" w:hAnsi="Times New Roman" w:cs="Times New Roman"/>
                <w:b/>
                <w:bCs/>
                <w:sz w:val="24"/>
                <w:szCs w:val="24"/>
              </w:rPr>
              <w:t>Definition</w:t>
            </w:r>
          </w:p>
        </w:tc>
        <w:tc>
          <w:tcPr>
            <w:tcW w:w="2433" w:type="dxa"/>
            <w:vAlign w:val="center"/>
            <w:hideMark/>
          </w:tcPr>
          <w:p w14:paraId="6788C48E" w14:textId="77777777" w:rsidR="00640B84" w:rsidRPr="00640B84" w:rsidRDefault="00640B84" w:rsidP="00640B84">
            <w:pPr>
              <w:spacing w:after="0" w:line="240" w:lineRule="auto"/>
              <w:jc w:val="center"/>
              <w:rPr>
                <w:rFonts w:ascii="Times New Roman" w:eastAsia="Times New Roman" w:hAnsi="Times New Roman" w:cs="Times New Roman"/>
                <w:b/>
                <w:bCs/>
                <w:sz w:val="24"/>
                <w:szCs w:val="24"/>
              </w:rPr>
            </w:pPr>
            <w:r w:rsidRPr="00640B84">
              <w:rPr>
                <w:rFonts w:ascii="Times New Roman" w:eastAsia="Times New Roman" w:hAnsi="Times New Roman" w:cs="Times New Roman"/>
                <w:b/>
                <w:bCs/>
                <w:sz w:val="24"/>
                <w:szCs w:val="24"/>
              </w:rPr>
              <w:t>Context or Field Location</w:t>
            </w:r>
          </w:p>
        </w:tc>
      </w:tr>
      <w:tr w:rsidR="00444BB0" w:rsidRPr="00640B84" w14:paraId="57FD670C" w14:textId="77777777" w:rsidTr="00260783">
        <w:trPr>
          <w:tblCellSpacing w:w="15" w:type="dxa"/>
        </w:trPr>
        <w:tc>
          <w:tcPr>
            <w:tcW w:w="0" w:type="auto"/>
            <w:vAlign w:val="center"/>
            <w:hideMark/>
          </w:tcPr>
          <w:p w14:paraId="0A7E5A3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Accrual</w:t>
            </w:r>
          </w:p>
        </w:tc>
        <w:tc>
          <w:tcPr>
            <w:tcW w:w="4204" w:type="dxa"/>
            <w:vAlign w:val="center"/>
            <w:hideMark/>
          </w:tcPr>
          <w:p w14:paraId="2C58598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An accrual is the count of subjects on a study. A subject is considered an accrual per the sponsor’s criteria, usually after consent, eligibility and any screening procedures are complete.</w:t>
            </w:r>
          </w:p>
        </w:tc>
        <w:tc>
          <w:tcPr>
            <w:tcW w:w="2433" w:type="dxa"/>
            <w:vAlign w:val="center"/>
            <w:hideMark/>
          </w:tcPr>
          <w:p w14:paraId="546F96E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2BF20601" w14:textId="77777777" w:rsidTr="00260783">
        <w:trPr>
          <w:tblCellSpacing w:w="15" w:type="dxa"/>
        </w:trPr>
        <w:tc>
          <w:tcPr>
            <w:tcW w:w="0" w:type="auto"/>
            <w:vAlign w:val="center"/>
            <w:hideMark/>
          </w:tcPr>
          <w:p w14:paraId="2F67219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Adjuvant</w:t>
            </w:r>
          </w:p>
        </w:tc>
        <w:tc>
          <w:tcPr>
            <w:tcW w:w="4204" w:type="dxa"/>
            <w:vAlign w:val="center"/>
            <w:hideMark/>
          </w:tcPr>
          <w:p w14:paraId="228126E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Study drug is enhancing or otherwise affecting the impact of another drug or treatment.</w:t>
            </w:r>
          </w:p>
        </w:tc>
        <w:tc>
          <w:tcPr>
            <w:tcW w:w="2433" w:type="dxa"/>
            <w:vAlign w:val="center"/>
            <w:hideMark/>
          </w:tcPr>
          <w:p w14:paraId="4FBD4AF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69F21A0" w14:textId="77777777" w:rsidTr="00260783">
        <w:trPr>
          <w:tblCellSpacing w:w="15" w:type="dxa"/>
        </w:trPr>
        <w:tc>
          <w:tcPr>
            <w:tcW w:w="0" w:type="auto"/>
            <w:vAlign w:val="center"/>
            <w:hideMark/>
          </w:tcPr>
          <w:p w14:paraId="7EDD1C2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Affiliate</w:t>
            </w:r>
          </w:p>
        </w:tc>
        <w:tc>
          <w:tcPr>
            <w:tcW w:w="4204" w:type="dxa"/>
            <w:vAlign w:val="center"/>
            <w:hideMark/>
          </w:tcPr>
          <w:p w14:paraId="038D91BC" w14:textId="6CF6CC91"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Another institution or site that is conducting clinical trials where</w:t>
            </w:r>
            <w:r w:rsidR="004C0480">
              <w:rPr>
                <w:rFonts w:ascii="Times New Roman" w:eastAsia="Times New Roman" w:hAnsi="Times New Roman" w:cs="Times New Roman"/>
                <w:sz w:val="24"/>
                <w:szCs w:val="24"/>
              </w:rPr>
              <w:t xml:space="preserve"> Emory</w:t>
            </w:r>
            <w:r w:rsidRPr="00640B84">
              <w:rPr>
                <w:rFonts w:ascii="Times New Roman" w:eastAsia="Times New Roman" w:hAnsi="Times New Roman" w:cs="Times New Roman"/>
                <w:sz w:val="24"/>
                <w:szCs w:val="24"/>
              </w:rPr>
              <w:t xml:space="preserve"> is the coordinating center. An Institution other than </w:t>
            </w:r>
            <w:r w:rsidR="004C0480">
              <w:rPr>
                <w:rFonts w:ascii="Times New Roman" w:eastAsia="Times New Roman" w:hAnsi="Times New Roman" w:cs="Times New Roman"/>
                <w:sz w:val="24"/>
                <w:szCs w:val="24"/>
              </w:rPr>
              <w:t>Emory.</w:t>
            </w:r>
          </w:p>
        </w:tc>
        <w:tc>
          <w:tcPr>
            <w:tcW w:w="2433" w:type="dxa"/>
            <w:vAlign w:val="center"/>
            <w:hideMark/>
          </w:tcPr>
          <w:p w14:paraId="691C882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FFB7C1D" w14:textId="77777777" w:rsidTr="00260783">
        <w:trPr>
          <w:tblCellSpacing w:w="15" w:type="dxa"/>
        </w:trPr>
        <w:tc>
          <w:tcPr>
            <w:tcW w:w="0" w:type="auto"/>
            <w:vAlign w:val="center"/>
            <w:hideMark/>
          </w:tcPr>
          <w:p w14:paraId="21D99D1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Age</w:t>
            </w:r>
          </w:p>
        </w:tc>
        <w:tc>
          <w:tcPr>
            <w:tcW w:w="4204" w:type="dxa"/>
            <w:vAlign w:val="center"/>
            <w:hideMark/>
          </w:tcPr>
          <w:p w14:paraId="346D3EE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Indicates the age of subject participants. Options are 'Adult', 'Children', or 'Both'.</w:t>
            </w:r>
          </w:p>
        </w:tc>
        <w:tc>
          <w:tcPr>
            <w:tcW w:w="2433" w:type="dxa"/>
            <w:vAlign w:val="center"/>
            <w:hideMark/>
          </w:tcPr>
          <w:p w14:paraId="5E12BD7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7C6B1BE0" w14:textId="77777777" w:rsidTr="00260783">
        <w:trPr>
          <w:tblCellSpacing w:w="15" w:type="dxa"/>
        </w:trPr>
        <w:tc>
          <w:tcPr>
            <w:tcW w:w="0" w:type="auto"/>
            <w:vAlign w:val="center"/>
            <w:hideMark/>
          </w:tcPr>
          <w:p w14:paraId="3DD51E0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AHC</w:t>
            </w:r>
          </w:p>
        </w:tc>
        <w:tc>
          <w:tcPr>
            <w:tcW w:w="4204" w:type="dxa"/>
            <w:vAlign w:val="center"/>
            <w:hideMark/>
          </w:tcPr>
          <w:p w14:paraId="33ECF26B" w14:textId="5A898A5E"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Academic Health Center - represents any non-oncology part of</w:t>
            </w:r>
            <w:r w:rsidR="004C0480">
              <w:rPr>
                <w:rFonts w:ascii="Times New Roman" w:eastAsia="Times New Roman" w:hAnsi="Times New Roman" w:cs="Times New Roman"/>
                <w:sz w:val="24"/>
                <w:szCs w:val="24"/>
              </w:rPr>
              <w:t xml:space="preserve"> Emory</w:t>
            </w:r>
            <w:r w:rsidRPr="00640B84">
              <w:rPr>
                <w:rFonts w:ascii="Times New Roman" w:eastAsia="Times New Roman" w:hAnsi="Times New Roman" w:cs="Times New Roman"/>
                <w:sz w:val="24"/>
                <w:szCs w:val="24"/>
              </w:rPr>
              <w:t xml:space="preserve">. Also see Organizational Unit, Library, </w:t>
            </w:r>
          </w:p>
        </w:tc>
        <w:tc>
          <w:tcPr>
            <w:tcW w:w="2433" w:type="dxa"/>
            <w:vAlign w:val="center"/>
            <w:hideMark/>
          </w:tcPr>
          <w:p w14:paraId="241CB57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E808665" w14:textId="77777777" w:rsidTr="00260783">
        <w:trPr>
          <w:tblCellSpacing w:w="15" w:type="dxa"/>
        </w:trPr>
        <w:tc>
          <w:tcPr>
            <w:tcW w:w="0" w:type="auto"/>
            <w:vAlign w:val="center"/>
            <w:hideMark/>
          </w:tcPr>
          <w:p w14:paraId="34196BA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Assigned Subjects</w:t>
            </w:r>
          </w:p>
        </w:tc>
        <w:tc>
          <w:tcPr>
            <w:tcW w:w="4204" w:type="dxa"/>
            <w:vAlign w:val="center"/>
            <w:hideMark/>
          </w:tcPr>
          <w:p w14:paraId="4E444C5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Patients can be assigned to study team members in OnCore.</w:t>
            </w:r>
          </w:p>
        </w:tc>
        <w:tc>
          <w:tcPr>
            <w:tcW w:w="2433" w:type="dxa"/>
            <w:vAlign w:val="center"/>
            <w:hideMark/>
          </w:tcPr>
          <w:p w14:paraId="2D32BCC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52FA5E31" w14:textId="77777777" w:rsidTr="00260783">
        <w:trPr>
          <w:tblCellSpacing w:w="15" w:type="dxa"/>
        </w:trPr>
        <w:tc>
          <w:tcPr>
            <w:tcW w:w="0" w:type="auto"/>
            <w:vAlign w:val="center"/>
            <w:hideMark/>
          </w:tcPr>
          <w:p w14:paraId="73B0865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Billing Slip</w:t>
            </w:r>
          </w:p>
        </w:tc>
        <w:tc>
          <w:tcPr>
            <w:tcW w:w="4204" w:type="dxa"/>
            <w:vAlign w:val="center"/>
            <w:hideMark/>
          </w:tcPr>
          <w:p w14:paraId="561E938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Visit-level accounting of services provided that should be charged to the research study.</w:t>
            </w:r>
          </w:p>
        </w:tc>
        <w:tc>
          <w:tcPr>
            <w:tcW w:w="2433" w:type="dxa"/>
            <w:vAlign w:val="center"/>
            <w:hideMark/>
          </w:tcPr>
          <w:p w14:paraId="6E0F108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1879C405" w14:textId="77777777" w:rsidTr="00260783">
        <w:trPr>
          <w:tblCellSpacing w:w="15" w:type="dxa"/>
        </w:trPr>
        <w:tc>
          <w:tcPr>
            <w:tcW w:w="0" w:type="auto"/>
            <w:vAlign w:val="center"/>
            <w:hideMark/>
          </w:tcPr>
          <w:p w14:paraId="69FC528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BSM Console</w:t>
            </w:r>
          </w:p>
        </w:tc>
        <w:tc>
          <w:tcPr>
            <w:tcW w:w="4204" w:type="dxa"/>
            <w:vAlign w:val="center"/>
            <w:hideMark/>
          </w:tcPr>
          <w:p w14:paraId="0FF7890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Refers to the Biospecimen Management console in OnCore that has the capability to provide information regarding inventory tracking, requisition and distribution management, related document storage, and applicable reports.</w:t>
            </w:r>
          </w:p>
        </w:tc>
        <w:tc>
          <w:tcPr>
            <w:tcW w:w="2433" w:type="dxa"/>
            <w:vAlign w:val="center"/>
            <w:hideMark/>
          </w:tcPr>
          <w:p w14:paraId="26515014"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10850B17" w14:textId="77777777" w:rsidTr="00260783">
        <w:trPr>
          <w:tblCellSpacing w:w="15" w:type="dxa"/>
        </w:trPr>
        <w:tc>
          <w:tcPr>
            <w:tcW w:w="0" w:type="auto"/>
            <w:vAlign w:val="center"/>
            <w:hideMark/>
          </w:tcPr>
          <w:p w14:paraId="1261A28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CA</w:t>
            </w:r>
          </w:p>
        </w:tc>
        <w:tc>
          <w:tcPr>
            <w:tcW w:w="4204" w:type="dxa"/>
            <w:vAlign w:val="center"/>
            <w:hideMark/>
          </w:tcPr>
          <w:p w14:paraId="46A3C23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Coverage Analysis</w:t>
            </w:r>
          </w:p>
        </w:tc>
        <w:tc>
          <w:tcPr>
            <w:tcW w:w="2433" w:type="dxa"/>
            <w:vAlign w:val="center"/>
            <w:hideMark/>
          </w:tcPr>
          <w:p w14:paraId="135DCCC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6327D07A" w14:textId="77777777" w:rsidTr="00260783">
        <w:trPr>
          <w:tblCellSpacing w:w="15" w:type="dxa"/>
        </w:trPr>
        <w:tc>
          <w:tcPr>
            <w:tcW w:w="0" w:type="auto"/>
            <w:vAlign w:val="center"/>
            <w:hideMark/>
          </w:tcPr>
          <w:p w14:paraId="5B07385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Cancer Center</w:t>
            </w:r>
          </w:p>
        </w:tc>
        <w:tc>
          <w:tcPr>
            <w:tcW w:w="4204" w:type="dxa"/>
            <w:vAlign w:val="center"/>
            <w:hideMark/>
          </w:tcPr>
          <w:p w14:paraId="3F082F6D" w14:textId="596165BB" w:rsidR="00640B84" w:rsidRPr="00640B84" w:rsidRDefault="004C0480" w:rsidP="00640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Winship Cancer Institute </w:t>
            </w:r>
          </w:p>
        </w:tc>
        <w:tc>
          <w:tcPr>
            <w:tcW w:w="2433" w:type="dxa"/>
            <w:vAlign w:val="center"/>
            <w:hideMark/>
          </w:tcPr>
          <w:p w14:paraId="381044AF"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494F8DE3" w14:textId="77777777" w:rsidTr="00260783">
        <w:trPr>
          <w:tblCellSpacing w:w="15" w:type="dxa"/>
        </w:trPr>
        <w:tc>
          <w:tcPr>
            <w:tcW w:w="0" w:type="auto"/>
            <w:vAlign w:val="center"/>
            <w:hideMark/>
          </w:tcPr>
          <w:p w14:paraId="0975CF8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Companion Study</w:t>
            </w:r>
          </w:p>
        </w:tc>
        <w:tc>
          <w:tcPr>
            <w:tcW w:w="4204" w:type="dxa"/>
            <w:vAlign w:val="center"/>
            <w:hideMark/>
          </w:tcPr>
          <w:p w14:paraId="07A76DE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 study conducted in conjunction with at least one other study. Enrolling into the companion study can be either "required" or "optional"</w:t>
            </w:r>
          </w:p>
        </w:tc>
        <w:tc>
          <w:tcPr>
            <w:tcW w:w="2433" w:type="dxa"/>
            <w:vAlign w:val="center"/>
            <w:hideMark/>
          </w:tcPr>
          <w:p w14:paraId="3D2ED93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8133BB4" w14:textId="77777777" w:rsidTr="00260783">
        <w:trPr>
          <w:tblCellSpacing w:w="15" w:type="dxa"/>
        </w:trPr>
        <w:tc>
          <w:tcPr>
            <w:tcW w:w="0" w:type="auto"/>
            <w:vAlign w:val="center"/>
            <w:hideMark/>
          </w:tcPr>
          <w:p w14:paraId="0C0309D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Consent at Age of Majority</w:t>
            </w:r>
          </w:p>
        </w:tc>
        <w:tc>
          <w:tcPr>
            <w:tcW w:w="4204" w:type="dxa"/>
            <w:vAlign w:val="center"/>
            <w:hideMark/>
          </w:tcPr>
          <w:p w14:paraId="6B9C744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Triggers warnings to re-consent subjects at the age of majority when set to 'Yes'. </w:t>
            </w:r>
            <w:r w:rsidRPr="00640B84">
              <w:rPr>
                <w:rFonts w:ascii="Times New Roman" w:eastAsia="Times New Roman" w:hAnsi="Times New Roman" w:cs="Times New Roman"/>
                <w:sz w:val="24"/>
                <w:szCs w:val="24"/>
              </w:rPr>
              <w:lastRenderedPageBreak/>
              <w:t>This field is only active when the 'Age' selected is Children or Both.</w:t>
            </w:r>
          </w:p>
        </w:tc>
        <w:tc>
          <w:tcPr>
            <w:tcW w:w="2433" w:type="dxa"/>
            <w:vAlign w:val="center"/>
            <w:hideMark/>
          </w:tcPr>
          <w:p w14:paraId="6C25FAC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PC Console</w:t>
            </w:r>
          </w:p>
        </w:tc>
      </w:tr>
      <w:tr w:rsidR="00444BB0" w:rsidRPr="00640B84" w14:paraId="3249BA4B" w14:textId="77777777" w:rsidTr="00260783">
        <w:trPr>
          <w:tblCellSpacing w:w="15" w:type="dxa"/>
        </w:trPr>
        <w:tc>
          <w:tcPr>
            <w:tcW w:w="0" w:type="auto"/>
            <w:vAlign w:val="center"/>
            <w:hideMark/>
          </w:tcPr>
          <w:p w14:paraId="64E628E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Console</w:t>
            </w:r>
          </w:p>
        </w:tc>
        <w:tc>
          <w:tcPr>
            <w:tcW w:w="4204" w:type="dxa"/>
            <w:vAlign w:val="center"/>
            <w:hideMark/>
          </w:tcPr>
          <w:p w14:paraId="6CBC0ED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An OnCore console is a set of related OnCore pages that are grouped for a particular workflow, function, or type of data. </w:t>
            </w:r>
          </w:p>
        </w:tc>
        <w:tc>
          <w:tcPr>
            <w:tcW w:w="2433" w:type="dxa"/>
            <w:vAlign w:val="center"/>
            <w:hideMark/>
          </w:tcPr>
          <w:p w14:paraId="05914D28"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2BB2589B" w14:textId="77777777" w:rsidTr="00260783">
        <w:trPr>
          <w:tblCellSpacing w:w="15" w:type="dxa"/>
        </w:trPr>
        <w:tc>
          <w:tcPr>
            <w:tcW w:w="0" w:type="auto"/>
            <w:vAlign w:val="center"/>
            <w:hideMark/>
          </w:tcPr>
          <w:p w14:paraId="517CA30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Contact Records</w:t>
            </w:r>
          </w:p>
        </w:tc>
        <w:tc>
          <w:tcPr>
            <w:tcW w:w="4204" w:type="dxa"/>
            <w:vAlign w:val="center"/>
            <w:hideMark/>
          </w:tcPr>
          <w:p w14:paraId="3586AD2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Contact records can be created for any team members who need to be tracked in connection with a protocol, subject, task, audit, or registry. Contacts do not necessarily have access (see User Records). </w:t>
            </w:r>
          </w:p>
        </w:tc>
        <w:tc>
          <w:tcPr>
            <w:tcW w:w="2433" w:type="dxa"/>
            <w:vAlign w:val="center"/>
            <w:hideMark/>
          </w:tcPr>
          <w:p w14:paraId="0AAD0C02"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264FF62" w14:textId="77777777" w:rsidTr="00260783">
        <w:trPr>
          <w:tblCellSpacing w:w="15" w:type="dxa"/>
        </w:trPr>
        <w:tc>
          <w:tcPr>
            <w:tcW w:w="0" w:type="auto"/>
            <w:vAlign w:val="center"/>
            <w:hideMark/>
          </w:tcPr>
          <w:p w14:paraId="73FE0EC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Correlative Study</w:t>
            </w:r>
          </w:p>
        </w:tc>
        <w:tc>
          <w:tcPr>
            <w:tcW w:w="4204" w:type="dxa"/>
            <w:vAlign w:val="center"/>
            <w:hideMark/>
          </w:tcPr>
          <w:p w14:paraId="74897AF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 correlative study looks at relationships between human biomarkers (</w:t>
            </w:r>
            <w:proofErr w:type="gramStart"/>
            <w:r w:rsidRPr="00640B84">
              <w:rPr>
                <w:rFonts w:ascii="Times New Roman" w:eastAsia="Times New Roman" w:hAnsi="Times New Roman" w:cs="Times New Roman"/>
                <w:sz w:val="24"/>
                <w:szCs w:val="24"/>
              </w:rPr>
              <w:t>e.g.</w:t>
            </w:r>
            <w:proofErr w:type="gramEnd"/>
            <w:r w:rsidRPr="00640B84">
              <w:rPr>
                <w:rFonts w:ascii="Times New Roman" w:eastAsia="Times New Roman" w:hAnsi="Times New Roman" w:cs="Times New Roman"/>
                <w:sz w:val="24"/>
                <w:szCs w:val="24"/>
              </w:rPr>
              <w:t xml:space="preserve"> genes, proteins) and something else (e.g. a disease, a treatment). In recent </w:t>
            </w:r>
            <w:proofErr w:type="gramStart"/>
            <w:r w:rsidRPr="00640B84">
              <w:rPr>
                <w:rFonts w:ascii="Times New Roman" w:eastAsia="Times New Roman" w:hAnsi="Times New Roman" w:cs="Times New Roman"/>
                <w:sz w:val="24"/>
                <w:szCs w:val="24"/>
              </w:rPr>
              <w:t>years</w:t>
            </w:r>
            <w:proofErr w:type="gramEnd"/>
            <w:r w:rsidRPr="00640B84">
              <w:rPr>
                <w:rFonts w:ascii="Times New Roman" w:eastAsia="Times New Roman" w:hAnsi="Times New Roman" w:cs="Times New Roman"/>
                <w:sz w:val="24"/>
                <w:szCs w:val="24"/>
              </w:rPr>
              <w:t xml:space="preserve"> many biospecimen-based biomarkers have been incorporated into cancer therapeutic trials. In OnCore, a correlative study may be associated with a main </w:t>
            </w:r>
            <w:proofErr w:type="gramStart"/>
            <w:r w:rsidRPr="00640B84">
              <w:rPr>
                <w:rFonts w:ascii="Times New Roman" w:eastAsia="Times New Roman" w:hAnsi="Times New Roman" w:cs="Times New Roman"/>
                <w:sz w:val="24"/>
                <w:szCs w:val="24"/>
              </w:rPr>
              <w:t>study, but</w:t>
            </w:r>
            <w:proofErr w:type="gramEnd"/>
            <w:r w:rsidRPr="00640B84">
              <w:rPr>
                <w:rFonts w:ascii="Times New Roman" w:eastAsia="Times New Roman" w:hAnsi="Times New Roman" w:cs="Times New Roman"/>
                <w:sz w:val="24"/>
                <w:szCs w:val="24"/>
              </w:rPr>
              <w:t xml:space="preserve"> does not seek the main outcomes of the main study. </w:t>
            </w:r>
          </w:p>
        </w:tc>
        <w:tc>
          <w:tcPr>
            <w:tcW w:w="2433" w:type="dxa"/>
            <w:vAlign w:val="center"/>
            <w:hideMark/>
          </w:tcPr>
          <w:p w14:paraId="593E9EF5"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7EB2A51B" w14:textId="77777777" w:rsidTr="00260783">
        <w:trPr>
          <w:tblCellSpacing w:w="15" w:type="dxa"/>
        </w:trPr>
        <w:tc>
          <w:tcPr>
            <w:tcW w:w="0" w:type="auto"/>
            <w:vAlign w:val="center"/>
            <w:hideMark/>
          </w:tcPr>
          <w:p w14:paraId="07A63F6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Correlatives</w:t>
            </w:r>
          </w:p>
        </w:tc>
        <w:tc>
          <w:tcPr>
            <w:tcW w:w="4204" w:type="dxa"/>
            <w:vAlign w:val="center"/>
            <w:hideMark/>
          </w:tcPr>
          <w:p w14:paraId="0FDAFC0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Biomarker specimens for correlative studies.</w:t>
            </w:r>
          </w:p>
        </w:tc>
        <w:tc>
          <w:tcPr>
            <w:tcW w:w="2433" w:type="dxa"/>
            <w:vAlign w:val="center"/>
            <w:hideMark/>
          </w:tcPr>
          <w:p w14:paraId="5F0284EF"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4246975F" w14:textId="77777777" w:rsidTr="00260783">
        <w:trPr>
          <w:tblCellSpacing w:w="15" w:type="dxa"/>
        </w:trPr>
        <w:tc>
          <w:tcPr>
            <w:tcW w:w="0" w:type="auto"/>
            <w:vAlign w:val="center"/>
            <w:hideMark/>
          </w:tcPr>
          <w:p w14:paraId="2674E64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CRA</w:t>
            </w:r>
          </w:p>
        </w:tc>
        <w:tc>
          <w:tcPr>
            <w:tcW w:w="4204" w:type="dxa"/>
            <w:vAlign w:val="center"/>
            <w:hideMark/>
          </w:tcPr>
          <w:p w14:paraId="6DB434F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Research Administration</w:t>
            </w:r>
          </w:p>
        </w:tc>
        <w:tc>
          <w:tcPr>
            <w:tcW w:w="2433" w:type="dxa"/>
            <w:vAlign w:val="center"/>
            <w:hideMark/>
          </w:tcPr>
          <w:p w14:paraId="3560165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CRA Console</w:t>
            </w:r>
          </w:p>
        </w:tc>
      </w:tr>
      <w:tr w:rsidR="00444BB0" w:rsidRPr="00640B84" w14:paraId="4DD0DEB0" w14:textId="77777777" w:rsidTr="00260783">
        <w:trPr>
          <w:tblCellSpacing w:w="15" w:type="dxa"/>
        </w:trPr>
        <w:tc>
          <w:tcPr>
            <w:tcW w:w="0" w:type="auto"/>
            <w:vAlign w:val="center"/>
            <w:hideMark/>
          </w:tcPr>
          <w:p w14:paraId="2929EA1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CRM</w:t>
            </w:r>
          </w:p>
        </w:tc>
        <w:tc>
          <w:tcPr>
            <w:tcW w:w="4204" w:type="dxa"/>
            <w:vAlign w:val="center"/>
            <w:hideMark/>
          </w:tcPr>
          <w:p w14:paraId="480607E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Research Management</w:t>
            </w:r>
          </w:p>
        </w:tc>
        <w:tc>
          <w:tcPr>
            <w:tcW w:w="2433" w:type="dxa"/>
            <w:vAlign w:val="center"/>
            <w:hideMark/>
          </w:tcPr>
          <w:p w14:paraId="2A6A5F25"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1EB3A3F" w14:textId="77777777" w:rsidTr="00260783">
        <w:trPr>
          <w:tblCellSpacing w:w="15" w:type="dxa"/>
        </w:trPr>
        <w:tc>
          <w:tcPr>
            <w:tcW w:w="0" w:type="auto"/>
            <w:vAlign w:val="center"/>
            <w:hideMark/>
          </w:tcPr>
          <w:p w14:paraId="60FBF46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CRMS</w:t>
            </w:r>
          </w:p>
        </w:tc>
        <w:tc>
          <w:tcPr>
            <w:tcW w:w="4204" w:type="dxa"/>
            <w:vAlign w:val="center"/>
            <w:hideMark/>
          </w:tcPr>
          <w:p w14:paraId="3CDB236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Research Management System</w:t>
            </w:r>
          </w:p>
        </w:tc>
        <w:tc>
          <w:tcPr>
            <w:tcW w:w="2433" w:type="dxa"/>
            <w:vAlign w:val="center"/>
            <w:hideMark/>
          </w:tcPr>
          <w:p w14:paraId="3DE9EB0E"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6CFEB395" w14:textId="77777777" w:rsidTr="00260783">
        <w:trPr>
          <w:tblCellSpacing w:w="15" w:type="dxa"/>
        </w:trPr>
        <w:tc>
          <w:tcPr>
            <w:tcW w:w="0" w:type="auto"/>
            <w:vAlign w:val="center"/>
            <w:hideMark/>
          </w:tcPr>
          <w:p w14:paraId="48266BA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CRO</w:t>
            </w:r>
          </w:p>
        </w:tc>
        <w:tc>
          <w:tcPr>
            <w:tcW w:w="4204" w:type="dxa"/>
            <w:vAlign w:val="center"/>
            <w:hideMark/>
          </w:tcPr>
          <w:p w14:paraId="04FC238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Contract Research Organization or Clinical Research Organization - A company hired by another company or research center to take over certain parts of running a clinical trial. The company may design, manage, and monitor the trial, and analyze the results.</w:t>
            </w:r>
          </w:p>
        </w:tc>
        <w:tc>
          <w:tcPr>
            <w:tcW w:w="2433" w:type="dxa"/>
            <w:vAlign w:val="center"/>
            <w:hideMark/>
          </w:tcPr>
          <w:p w14:paraId="57EAFD27"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786F8524" w14:textId="77777777" w:rsidTr="00260783">
        <w:trPr>
          <w:tblCellSpacing w:w="15" w:type="dxa"/>
        </w:trPr>
        <w:tc>
          <w:tcPr>
            <w:tcW w:w="0" w:type="auto"/>
            <w:vAlign w:val="center"/>
            <w:hideMark/>
          </w:tcPr>
          <w:p w14:paraId="023C42F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CRPC</w:t>
            </w:r>
          </w:p>
        </w:tc>
        <w:tc>
          <w:tcPr>
            <w:tcW w:w="4204" w:type="dxa"/>
            <w:vAlign w:val="center"/>
            <w:hideMark/>
          </w:tcPr>
          <w:p w14:paraId="5CE267B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Research Process Content – an Epic-OnCore interface that allows OnCore calendar and billing grid data to flow from OnCore to Epic.</w:t>
            </w:r>
          </w:p>
        </w:tc>
        <w:tc>
          <w:tcPr>
            <w:tcW w:w="2433" w:type="dxa"/>
            <w:vAlign w:val="center"/>
            <w:hideMark/>
          </w:tcPr>
          <w:p w14:paraId="74B254E3"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7CFE8ED9" w14:textId="77777777" w:rsidTr="00260783">
        <w:trPr>
          <w:tblCellSpacing w:w="15" w:type="dxa"/>
        </w:trPr>
        <w:tc>
          <w:tcPr>
            <w:tcW w:w="0" w:type="auto"/>
            <w:vAlign w:val="center"/>
            <w:hideMark/>
          </w:tcPr>
          <w:p w14:paraId="6953BFD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CTCAE</w:t>
            </w:r>
          </w:p>
        </w:tc>
        <w:tc>
          <w:tcPr>
            <w:tcW w:w="4204" w:type="dxa"/>
            <w:vAlign w:val="center"/>
            <w:hideMark/>
          </w:tcPr>
          <w:p w14:paraId="4CF4A95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Common Terminology Criteria for Adverse Events – The NCI CTCAE is a </w:t>
            </w:r>
            <w:r w:rsidRPr="00640B84">
              <w:rPr>
                <w:rFonts w:ascii="Times New Roman" w:eastAsia="Times New Roman" w:hAnsi="Times New Roman" w:cs="Times New Roman"/>
                <w:sz w:val="24"/>
                <w:szCs w:val="24"/>
              </w:rPr>
              <w:lastRenderedPageBreak/>
              <w:t>descriptive terminology which can be utilized for Adverse Event (AE) reporting.</w:t>
            </w:r>
          </w:p>
        </w:tc>
        <w:tc>
          <w:tcPr>
            <w:tcW w:w="2433" w:type="dxa"/>
            <w:vAlign w:val="center"/>
            <w:hideMark/>
          </w:tcPr>
          <w:p w14:paraId="6111A547"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01F98FA1" w14:textId="77777777" w:rsidTr="00260783">
        <w:trPr>
          <w:tblCellSpacing w:w="15" w:type="dxa"/>
        </w:trPr>
        <w:tc>
          <w:tcPr>
            <w:tcW w:w="0" w:type="auto"/>
            <w:vAlign w:val="center"/>
            <w:hideMark/>
          </w:tcPr>
          <w:p w14:paraId="4CBB16E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CTG</w:t>
            </w:r>
          </w:p>
        </w:tc>
        <w:tc>
          <w:tcPr>
            <w:tcW w:w="4204" w:type="dxa"/>
            <w:vAlign w:val="center"/>
            <w:hideMark/>
          </w:tcPr>
          <w:p w14:paraId="406AE10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Trials Group (Oncology)</w:t>
            </w:r>
          </w:p>
        </w:tc>
        <w:tc>
          <w:tcPr>
            <w:tcW w:w="2433" w:type="dxa"/>
            <w:vAlign w:val="center"/>
            <w:hideMark/>
          </w:tcPr>
          <w:p w14:paraId="5F48ABF4"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3B357DAC" w14:textId="77777777" w:rsidTr="00260783">
        <w:trPr>
          <w:tblCellSpacing w:w="15" w:type="dxa"/>
        </w:trPr>
        <w:tc>
          <w:tcPr>
            <w:tcW w:w="0" w:type="auto"/>
            <w:vAlign w:val="center"/>
            <w:hideMark/>
          </w:tcPr>
          <w:p w14:paraId="5E07BAC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CTMS</w:t>
            </w:r>
          </w:p>
        </w:tc>
        <w:tc>
          <w:tcPr>
            <w:tcW w:w="4204" w:type="dxa"/>
            <w:vAlign w:val="center"/>
            <w:hideMark/>
          </w:tcPr>
          <w:p w14:paraId="6994387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Trial Management System</w:t>
            </w:r>
          </w:p>
        </w:tc>
        <w:tc>
          <w:tcPr>
            <w:tcW w:w="2433" w:type="dxa"/>
            <w:vAlign w:val="center"/>
            <w:hideMark/>
          </w:tcPr>
          <w:p w14:paraId="7647CAA1"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0920DA8F" w14:textId="77777777" w:rsidTr="00260783">
        <w:trPr>
          <w:tblCellSpacing w:w="15" w:type="dxa"/>
        </w:trPr>
        <w:tc>
          <w:tcPr>
            <w:tcW w:w="0" w:type="auto"/>
            <w:vAlign w:val="center"/>
            <w:hideMark/>
          </w:tcPr>
          <w:p w14:paraId="0E22FAA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CTO</w:t>
            </w:r>
          </w:p>
        </w:tc>
        <w:tc>
          <w:tcPr>
            <w:tcW w:w="4204" w:type="dxa"/>
            <w:vAlign w:val="center"/>
            <w:hideMark/>
          </w:tcPr>
          <w:p w14:paraId="6EF6202B" w14:textId="21EB45C9"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Clinical Trial Office at the </w:t>
            </w:r>
            <w:r w:rsidR="004C0480">
              <w:rPr>
                <w:rFonts w:ascii="Times New Roman" w:eastAsia="Times New Roman" w:hAnsi="Times New Roman" w:cs="Times New Roman"/>
                <w:sz w:val="24"/>
                <w:szCs w:val="24"/>
              </w:rPr>
              <w:t>Winship</w:t>
            </w:r>
            <w:r w:rsidRPr="00640B84">
              <w:rPr>
                <w:rFonts w:ascii="Times New Roman" w:eastAsia="Times New Roman" w:hAnsi="Times New Roman" w:cs="Times New Roman"/>
                <w:sz w:val="24"/>
                <w:szCs w:val="24"/>
              </w:rPr>
              <w:t xml:space="preserve"> Cancer Center</w:t>
            </w:r>
            <w:r w:rsidR="004C0480">
              <w:rPr>
                <w:rFonts w:ascii="Times New Roman" w:eastAsia="Times New Roman" w:hAnsi="Times New Roman" w:cs="Times New Roman"/>
                <w:sz w:val="24"/>
                <w:szCs w:val="24"/>
              </w:rPr>
              <w:t xml:space="preserve"> Institute.</w:t>
            </w:r>
          </w:p>
        </w:tc>
        <w:tc>
          <w:tcPr>
            <w:tcW w:w="2433" w:type="dxa"/>
            <w:vAlign w:val="center"/>
            <w:hideMark/>
          </w:tcPr>
          <w:p w14:paraId="733D1378"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91D50DB" w14:textId="77777777" w:rsidTr="00260783">
        <w:trPr>
          <w:tblCellSpacing w:w="15" w:type="dxa"/>
        </w:trPr>
        <w:tc>
          <w:tcPr>
            <w:tcW w:w="0" w:type="auto"/>
            <w:vAlign w:val="center"/>
            <w:hideMark/>
          </w:tcPr>
          <w:p w14:paraId="4C6D4C1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CTRP</w:t>
            </w:r>
          </w:p>
        </w:tc>
        <w:tc>
          <w:tcPr>
            <w:tcW w:w="4204" w:type="dxa"/>
            <w:vAlign w:val="center"/>
            <w:hideMark/>
          </w:tcPr>
          <w:p w14:paraId="180C9AF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NCI's Clinical Trials Reporting Program</w:t>
            </w:r>
          </w:p>
        </w:tc>
        <w:tc>
          <w:tcPr>
            <w:tcW w:w="2433" w:type="dxa"/>
            <w:vAlign w:val="center"/>
            <w:hideMark/>
          </w:tcPr>
          <w:p w14:paraId="36A0FD2C"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4B2675E2" w14:textId="77777777" w:rsidTr="00260783">
        <w:trPr>
          <w:tblCellSpacing w:w="15" w:type="dxa"/>
        </w:trPr>
        <w:tc>
          <w:tcPr>
            <w:tcW w:w="0" w:type="auto"/>
            <w:vAlign w:val="center"/>
            <w:hideMark/>
          </w:tcPr>
          <w:p w14:paraId="54B3D38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CTSI</w:t>
            </w:r>
          </w:p>
        </w:tc>
        <w:tc>
          <w:tcPr>
            <w:tcW w:w="4204" w:type="dxa"/>
            <w:vAlign w:val="center"/>
            <w:hideMark/>
          </w:tcPr>
          <w:p w14:paraId="11C6A01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Clinical and Translational Science Institute</w:t>
            </w:r>
          </w:p>
        </w:tc>
        <w:tc>
          <w:tcPr>
            <w:tcW w:w="2433" w:type="dxa"/>
            <w:vAlign w:val="center"/>
            <w:hideMark/>
          </w:tcPr>
          <w:p w14:paraId="0BF82EC2"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363A8803" w14:textId="77777777" w:rsidTr="00260783">
        <w:trPr>
          <w:tblCellSpacing w:w="15" w:type="dxa"/>
        </w:trPr>
        <w:tc>
          <w:tcPr>
            <w:tcW w:w="0" w:type="auto"/>
            <w:vAlign w:val="center"/>
            <w:hideMark/>
          </w:tcPr>
          <w:p w14:paraId="1D853BC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Data Table 4</w:t>
            </w:r>
          </w:p>
        </w:tc>
        <w:tc>
          <w:tcPr>
            <w:tcW w:w="4204" w:type="dxa"/>
            <w:vAlign w:val="center"/>
            <w:hideMark/>
          </w:tcPr>
          <w:p w14:paraId="1B538250" w14:textId="65A7716B"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An NCI report that shows the clinical research trials that are open during a </w:t>
            </w:r>
            <w:r w:rsidR="00260783" w:rsidRPr="00640B84">
              <w:rPr>
                <w:rFonts w:ascii="Times New Roman" w:eastAsia="Times New Roman" w:hAnsi="Times New Roman" w:cs="Times New Roman"/>
                <w:sz w:val="24"/>
                <w:szCs w:val="24"/>
              </w:rPr>
              <w:t>12-month</w:t>
            </w:r>
            <w:r w:rsidRPr="00640B84">
              <w:rPr>
                <w:rFonts w:ascii="Times New Roman" w:eastAsia="Times New Roman" w:hAnsi="Times New Roman" w:cs="Times New Roman"/>
                <w:sz w:val="24"/>
                <w:szCs w:val="24"/>
              </w:rPr>
              <w:t xml:space="preserve"> period at an institution. The report includes data on study type, sponsor type, principal investigator, accruals, etc.</w:t>
            </w:r>
          </w:p>
        </w:tc>
        <w:tc>
          <w:tcPr>
            <w:tcW w:w="2433" w:type="dxa"/>
            <w:vAlign w:val="center"/>
            <w:hideMark/>
          </w:tcPr>
          <w:p w14:paraId="6DBAE6F0"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1EE24367" w14:textId="77777777" w:rsidTr="00260783">
        <w:trPr>
          <w:tblCellSpacing w:w="15" w:type="dxa"/>
        </w:trPr>
        <w:tc>
          <w:tcPr>
            <w:tcW w:w="0" w:type="auto"/>
            <w:vAlign w:val="center"/>
            <w:hideMark/>
          </w:tcPr>
          <w:p w14:paraId="7E80BA9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Department</w:t>
            </w:r>
          </w:p>
        </w:tc>
        <w:tc>
          <w:tcPr>
            <w:tcW w:w="4204" w:type="dxa"/>
            <w:vAlign w:val="center"/>
            <w:hideMark/>
          </w:tcPr>
          <w:p w14:paraId="2B84564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Identifies the institutional funding body for the study. Fiduciary reporting is available based upon this field. Additionally, the permission scope of Department is driven </w:t>
            </w:r>
            <w:proofErr w:type="gramStart"/>
            <w:r w:rsidRPr="00640B84">
              <w:rPr>
                <w:rFonts w:ascii="Times New Roman" w:eastAsia="Times New Roman" w:hAnsi="Times New Roman" w:cs="Times New Roman"/>
                <w:sz w:val="24"/>
                <w:szCs w:val="24"/>
              </w:rPr>
              <w:t>off of</w:t>
            </w:r>
            <w:proofErr w:type="gramEnd"/>
            <w:r w:rsidRPr="00640B84">
              <w:rPr>
                <w:rFonts w:ascii="Times New Roman" w:eastAsia="Times New Roman" w:hAnsi="Times New Roman" w:cs="Times New Roman"/>
                <w:sz w:val="24"/>
                <w:szCs w:val="24"/>
              </w:rPr>
              <w:t xml:space="preserve"> this field. </w:t>
            </w:r>
          </w:p>
        </w:tc>
        <w:tc>
          <w:tcPr>
            <w:tcW w:w="2433" w:type="dxa"/>
            <w:vAlign w:val="center"/>
            <w:hideMark/>
          </w:tcPr>
          <w:p w14:paraId="0EEFC19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60C852F9" w14:textId="77777777" w:rsidTr="00260783">
        <w:trPr>
          <w:tblCellSpacing w:w="15" w:type="dxa"/>
        </w:trPr>
        <w:tc>
          <w:tcPr>
            <w:tcW w:w="0" w:type="auto"/>
            <w:vAlign w:val="center"/>
            <w:hideMark/>
          </w:tcPr>
          <w:p w14:paraId="69408AD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Deviation</w:t>
            </w:r>
          </w:p>
        </w:tc>
        <w:tc>
          <w:tcPr>
            <w:tcW w:w="4204" w:type="dxa"/>
            <w:vAlign w:val="center"/>
            <w:hideMark/>
          </w:tcPr>
          <w:p w14:paraId="6C1ABAA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 variance from the approved protocol procedures.</w:t>
            </w:r>
          </w:p>
        </w:tc>
        <w:tc>
          <w:tcPr>
            <w:tcW w:w="2433" w:type="dxa"/>
            <w:vAlign w:val="center"/>
            <w:hideMark/>
          </w:tcPr>
          <w:p w14:paraId="5876CDF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4BCF6691" w14:textId="77777777" w:rsidTr="00260783">
        <w:trPr>
          <w:tblCellSpacing w:w="15" w:type="dxa"/>
        </w:trPr>
        <w:tc>
          <w:tcPr>
            <w:tcW w:w="0" w:type="auto"/>
            <w:vAlign w:val="center"/>
            <w:hideMark/>
          </w:tcPr>
          <w:p w14:paraId="0023F6E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Drug Accountability</w:t>
            </w:r>
          </w:p>
        </w:tc>
        <w:tc>
          <w:tcPr>
            <w:tcW w:w="4204" w:type="dxa"/>
            <w:vAlign w:val="center"/>
            <w:hideMark/>
          </w:tcPr>
          <w:p w14:paraId="7EC474C0" w14:textId="1570A970"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Indicates whether drugs are being used and recorded within the protocol. Options are 'Yes', 'No', or 'N/A'. This is an information-only field and does not drive any OnCore functionality. Not a required field at </w:t>
            </w:r>
            <w:r w:rsidR="004C0480">
              <w:rPr>
                <w:rFonts w:ascii="Times New Roman" w:eastAsia="Times New Roman" w:hAnsi="Times New Roman" w:cs="Times New Roman"/>
                <w:sz w:val="24"/>
                <w:szCs w:val="24"/>
              </w:rPr>
              <w:t>Emory.</w:t>
            </w:r>
          </w:p>
        </w:tc>
        <w:tc>
          <w:tcPr>
            <w:tcW w:w="2433" w:type="dxa"/>
            <w:vAlign w:val="center"/>
            <w:hideMark/>
          </w:tcPr>
          <w:p w14:paraId="51BFF2B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30FB6AC" w14:textId="77777777" w:rsidTr="00260783">
        <w:trPr>
          <w:tblCellSpacing w:w="15" w:type="dxa"/>
        </w:trPr>
        <w:tc>
          <w:tcPr>
            <w:tcW w:w="0" w:type="auto"/>
            <w:vAlign w:val="center"/>
            <w:hideMark/>
          </w:tcPr>
          <w:p w14:paraId="6E9EADD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DSMB</w:t>
            </w:r>
          </w:p>
        </w:tc>
        <w:tc>
          <w:tcPr>
            <w:tcW w:w="4204" w:type="dxa"/>
            <w:vAlign w:val="center"/>
            <w:hideMark/>
          </w:tcPr>
          <w:p w14:paraId="587F801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Data Safety Management Board</w:t>
            </w:r>
          </w:p>
        </w:tc>
        <w:tc>
          <w:tcPr>
            <w:tcW w:w="2433" w:type="dxa"/>
            <w:vAlign w:val="center"/>
            <w:hideMark/>
          </w:tcPr>
          <w:p w14:paraId="2E621015"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9319CF6" w14:textId="77777777" w:rsidTr="00260783">
        <w:trPr>
          <w:tblCellSpacing w:w="15" w:type="dxa"/>
        </w:trPr>
        <w:tc>
          <w:tcPr>
            <w:tcW w:w="0" w:type="auto"/>
            <w:vAlign w:val="center"/>
            <w:hideMark/>
          </w:tcPr>
          <w:p w14:paraId="0CDF8B1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EMR</w:t>
            </w:r>
          </w:p>
        </w:tc>
        <w:tc>
          <w:tcPr>
            <w:tcW w:w="4204" w:type="dxa"/>
            <w:vAlign w:val="center"/>
            <w:hideMark/>
          </w:tcPr>
          <w:p w14:paraId="76E7204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Electronic Medical Record</w:t>
            </w:r>
          </w:p>
        </w:tc>
        <w:tc>
          <w:tcPr>
            <w:tcW w:w="2433" w:type="dxa"/>
            <w:vAlign w:val="center"/>
            <w:hideMark/>
          </w:tcPr>
          <w:p w14:paraId="1BCE6CD3"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6EFF31D9" w14:textId="77777777" w:rsidTr="00260783">
        <w:trPr>
          <w:tblCellSpacing w:w="15" w:type="dxa"/>
        </w:trPr>
        <w:tc>
          <w:tcPr>
            <w:tcW w:w="0" w:type="auto"/>
            <w:vAlign w:val="center"/>
            <w:hideMark/>
          </w:tcPr>
          <w:p w14:paraId="5F5F800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Enrollment Scope</w:t>
            </w:r>
          </w:p>
        </w:tc>
        <w:tc>
          <w:tcPr>
            <w:tcW w:w="4204" w:type="dxa"/>
            <w:vAlign w:val="center"/>
            <w:hideMark/>
          </w:tcPr>
          <w:p w14:paraId="6DC0682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general pools into which participants may be enrolled - can be "local", "national", and "international".</w:t>
            </w:r>
          </w:p>
        </w:tc>
        <w:tc>
          <w:tcPr>
            <w:tcW w:w="2433" w:type="dxa"/>
            <w:vAlign w:val="center"/>
            <w:hideMark/>
          </w:tcPr>
          <w:p w14:paraId="0967D265"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00423DAC" w14:textId="77777777" w:rsidTr="00260783">
        <w:trPr>
          <w:tblCellSpacing w:w="15" w:type="dxa"/>
        </w:trPr>
        <w:tc>
          <w:tcPr>
            <w:tcW w:w="0" w:type="auto"/>
            <w:vAlign w:val="center"/>
            <w:hideMark/>
          </w:tcPr>
          <w:p w14:paraId="4F2844C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Epic</w:t>
            </w:r>
          </w:p>
        </w:tc>
        <w:tc>
          <w:tcPr>
            <w:tcW w:w="4204" w:type="dxa"/>
            <w:vAlign w:val="center"/>
            <w:hideMark/>
          </w:tcPr>
          <w:p w14:paraId="56E32BFB" w14:textId="2E1539FA" w:rsidR="00640B84" w:rsidRPr="00640B84" w:rsidRDefault="00260783" w:rsidP="00640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Emory Healthcare</w:t>
            </w:r>
            <w:r w:rsidR="00640B84" w:rsidRPr="00640B84">
              <w:rPr>
                <w:rFonts w:ascii="Times New Roman" w:eastAsia="Times New Roman" w:hAnsi="Times New Roman" w:cs="Times New Roman"/>
                <w:sz w:val="24"/>
                <w:szCs w:val="24"/>
              </w:rPr>
              <w:t xml:space="preserve"> Hospital’s electronic medical record system.</w:t>
            </w:r>
          </w:p>
        </w:tc>
        <w:tc>
          <w:tcPr>
            <w:tcW w:w="2433" w:type="dxa"/>
            <w:vAlign w:val="center"/>
            <w:hideMark/>
          </w:tcPr>
          <w:p w14:paraId="641B2408"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18A2B38" w14:textId="77777777" w:rsidTr="00260783">
        <w:trPr>
          <w:tblCellSpacing w:w="15" w:type="dxa"/>
        </w:trPr>
        <w:tc>
          <w:tcPr>
            <w:tcW w:w="0" w:type="auto"/>
            <w:vAlign w:val="center"/>
            <w:hideMark/>
          </w:tcPr>
          <w:p w14:paraId="08449F24" w14:textId="77777777" w:rsidR="00640B84" w:rsidRPr="00640B84" w:rsidRDefault="00640B84" w:rsidP="00640B84">
            <w:pPr>
              <w:spacing w:after="0" w:line="240" w:lineRule="auto"/>
              <w:rPr>
                <w:rFonts w:ascii="Times New Roman" w:eastAsia="Times New Roman" w:hAnsi="Times New Roman" w:cs="Times New Roman"/>
                <w:sz w:val="24"/>
                <w:szCs w:val="24"/>
              </w:rPr>
            </w:pPr>
            <w:proofErr w:type="spellStart"/>
            <w:r w:rsidRPr="00640B84">
              <w:rPr>
                <w:rFonts w:ascii="Times New Roman" w:eastAsia="Times New Roman" w:hAnsi="Times New Roman" w:cs="Times New Roman"/>
                <w:sz w:val="24"/>
                <w:szCs w:val="24"/>
              </w:rPr>
              <w:t>ePRMS</w:t>
            </w:r>
            <w:proofErr w:type="spellEnd"/>
          </w:p>
        </w:tc>
        <w:tc>
          <w:tcPr>
            <w:tcW w:w="4204" w:type="dxa"/>
            <w:vAlign w:val="center"/>
            <w:hideMark/>
          </w:tcPr>
          <w:p w14:paraId="4B99EFA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Electronic Protocol Review and Monitoring System. Also see Protocol Review and Monitoring System.</w:t>
            </w:r>
          </w:p>
        </w:tc>
        <w:tc>
          <w:tcPr>
            <w:tcW w:w="2433" w:type="dxa"/>
            <w:vAlign w:val="center"/>
            <w:hideMark/>
          </w:tcPr>
          <w:p w14:paraId="6B8B13F9"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2731679F" w14:textId="77777777" w:rsidTr="00260783">
        <w:trPr>
          <w:tblCellSpacing w:w="15" w:type="dxa"/>
        </w:trPr>
        <w:tc>
          <w:tcPr>
            <w:tcW w:w="0" w:type="auto"/>
            <w:vAlign w:val="center"/>
            <w:hideMark/>
          </w:tcPr>
          <w:p w14:paraId="3CA8F59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FC</w:t>
            </w:r>
          </w:p>
        </w:tc>
        <w:tc>
          <w:tcPr>
            <w:tcW w:w="4204" w:type="dxa"/>
            <w:vAlign w:val="center"/>
            <w:hideMark/>
          </w:tcPr>
          <w:p w14:paraId="38E33B9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 Coordinator Role</w:t>
            </w:r>
          </w:p>
        </w:tc>
        <w:tc>
          <w:tcPr>
            <w:tcW w:w="2433" w:type="dxa"/>
            <w:vAlign w:val="center"/>
            <w:hideMark/>
          </w:tcPr>
          <w:p w14:paraId="0071C22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Access</w:t>
            </w:r>
          </w:p>
        </w:tc>
      </w:tr>
      <w:tr w:rsidR="00444BB0" w:rsidRPr="00640B84" w14:paraId="43BA8686" w14:textId="77777777" w:rsidTr="00260783">
        <w:trPr>
          <w:tblCellSpacing w:w="15" w:type="dxa"/>
        </w:trPr>
        <w:tc>
          <w:tcPr>
            <w:tcW w:w="0" w:type="auto"/>
            <w:vAlign w:val="center"/>
            <w:hideMark/>
          </w:tcPr>
          <w:p w14:paraId="2D610D5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FED</w:t>
            </w:r>
          </w:p>
        </w:tc>
        <w:tc>
          <w:tcPr>
            <w:tcW w:w="4204" w:type="dxa"/>
            <w:vAlign w:val="center"/>
            <w:hideMark/>
          </w:tcPr>
          <w:p w14:paraId="7F4A7C8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Federal Rate Base</w:t>
            </w:r>
          </w:p>
        </w:tc>
        <w:tc>
          <w:tcPr>
            <w:tcW w:w="2433" w:type="dxa"/>
            <w:vAlign w:val="center"/>
            <w:hideMark/>
          </w:tcPr>
          <w:p w14:paraId="6797C05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64E34CA8" w14:textId="77777777" w:rsidTr="00260783">
        <w:trPr>
          <w:tblCellSpacing w:w="15" w:type="dxa"/>
        </w:trPr>
        <w:tc>
          <w:tcPr>
            <w:tcW w:w="0" w:type="auto"/>
            <w:vAlign w:val="center"/>
            <w:hideMark/>
          </w:tcPr>
          <w:p w14:paraId="00781BA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ICF</w:t>
            </w:r>
          </w:p>
        </w:tc>
        <w:tc>
          <w:tcPr>
            <w:tcW w:w="4204" w:type="dxa"/>
            <w:vAlign w:val="center"/>
            <w:hideMark/>
          </w:tcPr>
          <w:p w14:paraId="1AC9E2C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Informed Consent Form</w:t>
            </w:r>
          </w:p>
        </w:tc>
        <w:tc>
          <w:tcPr>
            <w:tcW w:w="2433" w:type="dxa"/>
            <w:vAlign w:val="center"/>
            <w:hideMark/>
          </w:tcPr>
          <w:p w14:paraId="4E0D077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 Subjects</w:t>
            </w:r>
          </w:p>
        </w:tc>
      </w:tr>
      <w:tr w:rsidR="00444BB0" w:rsidRPr="00640B84" w14:paraId="053460B5" w14:textId="77777777" w:rsidTr="00260783">
        <w:trPr>
          <w:tblCellSpacing w:w="15" w:type="dxa"/>
        </w:trPr>
        <w:tc>
          <w:tcPr>
            <w:tcW w:w="0" w:type="auto"/>
            <w:vAlign w:val="center"/>
            <w:hideMark/>
          </w:tcPr>
          <w:p w14:paraId="7F00C00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IDC</w:t>
            </w:r>
          </w:p>
        </w:tc>
        <w:tc>
          <w:tcPr>
            <w:tcW w:w="4204" w:type="dxa"/>
            <w:vAlign w:val="center"/>
            <w:hideMark/>
          </w:tcPr>
          <w:p w14:paraId="5AD3446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Indirect Charges – Overhead costs, Indirect Costs (IDC), and Facilities and Administrative (F&amp;A) costs are terms have been used interchangeably by the federal government as equivalents to describe the same concept. These are actual costs incurred by the university in support of sponsored activities that cannot be identified readily and specifically to a project. Among other expenses, it includes the cost of departmental and central administrative support, building and equipment use, and library services, etc.</w:t>
            </w:r>
          </w:p>
        </w:tc>
        <w:tc>
          <w:tcPr>
            <w:tcW w:w="2433" w:type="dxa"/>
            <w:vAlign w:val="center"/>
            <w:hideMark/>
          </w:tcPr>
          <w:p w14:paraId="75F2F88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7B910118" w14:textId="77777777" w:rsidTr="00260783">
        <w:trPr>
          <w:tblCellSpacing w:w="15" w:type="dxa"/>
        </w:trPr>
        <w:tc>
          <w:tcPr>
            <w:tcW w:w="0" w:type="auto"/>
            <w:vAlign w:val="center"/>
            <w:hideMark/>
          </w:tcPr>
          <w:p w14:paraId="456EAC5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IDE</w:t>
            </w:r>
          </w:p>
        </w:tc>
        <w:tc>
          <w:tcPr>
            <w:tcW w:w="4204" w:type="dxa"/>
            <w:vAlign w:val="center"/>
            <w:hideMark/>
          </w:tcPr>
          <w:p w14:paraId="41D63C0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Investigational Device Exemption</w:t>
            </w:r>
          </w:p>
        </w:tc>
        <w:tc>
          <w:tcPr>
            <w:tcW w:w="2433" w:type="dxa"/>
            <w:vAlign w:val="center"/>
            <w:hideMark/>
          </w:tcPr>
          <w:p w14:paraId="52C8C74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3A785B36" w14:textId="77777777" w:rsidTr="00260783">
        <w:trPr>
          <w:tblCellSpacing w:w="15" w:type="dxa"/>
        </w:trPr>
        <w:tc>
          <w:tcPr>
            <w:tcW w:w="0" w:type="auto"/>
            <w:vAlign w:val="center"/>
            <w:hideMark/>
          </w:tcPr>
          <w:p w14:paraId="04E3F8E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IHE</w:t>
            </w:r>
          </w:p>
        </w:tc>
        <w:tc>
          <w:tcPr>
            <w:tcW w:w="4204" w:type="dxa"/>
            <w:vAlign w:val="center"/>
            <w:hideMark/>
          </w:tcPr>
          <w:p w14:paraId="38D12B4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Integrating the Healthcare Enterprise</w:t>
            </w:r>
          </w:p>
        </w:tc>
        <w:tc>
          <w:tcPr>
            <w:tcW w:w="2433" w:type="dxa"/>
            <w:vAlign w:val="center"/>
            <w:hideMark/>
          </w:tcPr>
          <w:p w14:paraId="4B774AAB"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110EF2D9" w14:textId="77777777" w:rsidTr="00260783">
        <w:trPr>
          <w:tblCellSpacing w:w="15" w:type="dxa"/>
        </w:trPr>
        <w:tc>
          <w:tcPr>
            <w:tcW w:w="0" w:type="auto"/>
            <w:vAlign w:val="center"/>
            <w:hideMark/>
          </w:tcPr>
          <w:p w14:paraId="364FFF5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w:t>
            </w:r>
          </w:p>
        </w:tc>
        <w:tc>
          <w:tcPr>
            <w:tcW w:w="4204" w:type="dxa"/>
            <w:vAlign w:val="center"/>
            <w:hideMark/>
          </w:tcPr>
          <w:p w14:paraId="36033C1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Industry Rate Base</w:t>
            </w:r>
          </w:p>
        </w:tc>
        <w:tc>
          <w:tcPr>
            <w:tcW w:w="2433" w:type="dxa"/>
            <w:vAlign w:val="center"/>
            <w:hideMark/>
          </w:tcPr>
          <w:p w14:paraId="3526156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10393029" w14:textId="77777777" w:rsidTr="00260783">
        <w:trPr>
          <w:tblCellSpacing w:w="15" w:type="dxa"/>
        </w:trPr>
        <w:tc>
          <w:tcPr>
            <w:tcW w:w="0" w:type="auto"/>
            <w:vAlign w:val="center"/>
            <w:hideMark/>
          </w:tcPr>
          <w:p w14:paraId="058722B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w:t>
            </w:r>
          </w:p>
        </w:tc>
        <w:tc>
          <w:tcPr>
            <w:tcW w:w="4204" w:type="dxa"/>
            <w:vAlign w:val="center"/>
            <w:hideMark/>
          </w:tcPr>
          <w:p w14:paraId="2C4A61B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Investigational New Drug Application</w:t>
            </w:r>
          </w:p>
        </w:tc>
        <w:tc>
          <w:tcPr>
            <w:tcW w:w="2433" w:type="dxa"/>
            <w:vAlign w:val="center"/>
            <w:hideMark/>
          </w:tcPr>
          <w:p w14:paraId="3C93E15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476D9F5F" w14:textId="77777777" w:rsidTr="00260783">
        <w:trPr>
          <w:tblCellSpacing w:w="15" w:type="dxa"/>
        </w:trPr>
        <w:tc>
          <w:tcPr>
            <w:tcW w:w="0" w:type="auto"/>
            <w:vAlign w:val="center"/>
            <w:hideMark/>
          </w:tcPr>
          <w:p w14:paraId="7CF94F0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Institution</w:t>
            </w:r>
          </w:p>
        </w:tc>
        <w:tc>
          <w:tcPr>
            <w:tcW w:w="4204" w:type="dxa"/>
            <w:vAlign w:val="center"/>
            <w:hideMark/>
          </w:tcPr>
          <w:p w14:paraId="035A0AA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Institutions are the logical business units of clinical trials that participate in a protocol.</w:t>
            </w:r>
          </w:p>
        </w:tc>
        <w:tc>
          <w:tcPr>
            <w:tcW w:w="2433" w:type="dxa"/>
            <w:vAlign w:val="center"/>
            <w:hideMark/>
          </w:tcPr>
          <w:p w14:paraId="305852C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4F11CF43" w14:textId="77777777" w:rsidTr="00260783">
        <w:trPr>
          <w:tblCellSpacing w:w="15" w:type="dxa"/>
        </w:trPr>
        <w:tc>
          <w:tcPr>
            <w:tcW w:w="0" w:type="auto"/>
            <w:vAlign w:val="center"/>
            <w:hideMark/>
          </w:tcPr>
          <w:p w14:paraId="5387E6F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INV</w:t>
            </w:r>
          </w:p>
        </w:tc>
        <w:tc>
          <w:tcPr>
            <w:tcW w:w="4204" w:type="dxa"/>
            <w:vAlign w:val="center"/>
            <w:hideMark/>
          </w:tcPr>
          <w:p w14:paraId="1FB54BD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Investigator Initiated Rate Base</w:t>
            </w:r>
          </w:p>
        </w:tc>
        <w:tc>
          <w:tcPr>
            <w:tcW w:w="2433" w:type="dxa"/>
            <w:vAlign w:val="center"/>
            <w:hideMark/>
          </w:tcPr>
          <w:p w14:paraId="092AEEA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Financials</w:t>
            </w:r>
          </w:p>
        </w:tc>
      </w:tr>
      <w:tr w:rsidR="00444BB0" w:rsidRPr="00640B84" w14:paraId="144CB7CC" w14:textId="77777777" w:rsidTr="00260783">
        <w:trPr>
          <w:tblCellSpacing w:w="15" w:type="dxa"/>
        </w:trPr>
        <w:tc>
          <w:tcPr>
            <w:tcW w:w="0" w:type="auto"/>
            <w:vAlign w:val="center"/>
            <w:hideMark/>
          </w:tcPr>
          <w:p w14:paraId="7949145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Investigator Initiated Protocol</w:t>
            </w:r>
          </w:p>
        </w:tc>
        <w:tc>
          <w:tcPr>
            <w:tcW w:w="4204" w:type="dxa"/>
            <w:vAlign w:val="center"/>
            <w:hideMark/>
          </w:tcPr>
          <w:p w14:paraId="039DD64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Indicates whether the principal investigator initiated the protocol; options are 'Yes', 'No', or blank. This field is used in the Data Table 4 Revised -- Clinical Research Protocols report.</w:t>
            </w:r>
          </w:p>
        </w:tc>
        <w:tc>
          <w:tcPr>
            <w:tcW w:w="2433" w:type="dxa"/>
            <w:vAlign w:val="center"/>
            <w:hideMark/>
          </w:tcPr>
          <w:p w14:paraId="5932FE2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2BC29B1B" w14:textId="77777777" w:rsidTr="00260783">
        <w:trPr>
          <w:tblCellSpacing w:w="15" w:type="dxa"/>
        </w:trPr>
        <w:tc>
          <w:tcPr>
            <w:tcW w:w="0" w:type="auto"/>
            <w:vAlign w:val="center"/>
            <w:hideMark/>
          </w:tcPr>
          <w:p w14:paraId="5E33C53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IRB</w:t>
            </w:r>
          </w:p>
        </w:tc>
        <w:tc>
          <w:tcPr>
            <w:tcW w:w="4204" w:type="dxa"/>
            <w:vAlign w:val="center"/>
            <w:hideMark/>
          </w:tcPr>
          <w:p w14:paraId="0322442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Institutional Review Board, a group of scientists, doctors, clergy, and consumers that reviews and approves the action plan for every clinical trial.</w:t>
            </w:r>
          </w:p>
        </w:tc>
        <w:tc>
          <w:tcPr>
            <w:tcW w:w="2433" w:type="dxa"/>
            <w:vAlign w:val="center"/>
            <w:hideMark/>
          </w:tcPr>
          <w:p w14:paraId="549D25D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7FED5330" w14:textId="77777777" w:rsidTr="00260783">
        <w:trPr>
          <w:tblCellSpacing w:w="15" w:type="dxa"/>
        </w:trPr>
        <w:tc>
          <w:tcPr>
            <w:tcW w:w="0" w:type="auto"/>
            <w:vAlign w:val="center"/>
            <w:hideMark/>
          </w:tcPr>
          <w:p w14:paraId="63C5230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Library</w:t>
            </w:r>
          </w:p>
        </w:tc>
        <w:tc>
          <w:tcPr>
            <w:tcW w:w="4204" w:type="dxa"/>
            <w:vAlign w:val="center"/>
            <w:hideMark/>
          </w:tcPr>
          <w:p w14:paraId="1CDE145F" w14:textId="32620664"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Determines the Reference Codes, Forms, Protocol Annotations, Notifications and Signoffs available for the protocol. This field cannot be changed once the status of the protocol has changed from 'New'. There are two </w:t>
            </w:r>
            <w:r w:rsidRPr="00640B84">
              <w:rPr>
                <w:rFonts w:ascii="Times New Roman" w:eastAsia="Times New Roman" w:hAnsi="Times New Roman" w:cs="Times New Roman"/>
                <w:sz w:val="24"/>
                <w:szCs w:val="24"/>
              </w:rPr>
              <w:lastRenderedPageBreak/>
              <w:t xml:space="preserve">libraries in </w:t>
            </w:r>
            <w:r w:rsidR="00444BB0">
              <w:rPr>
                <w:rFonts w:ascii="Times New Roman" w:eastAsia="Times New Roman" w:hAnsi="Times New Roman" w:cs="Times New Roman"/>
                <w:sz w:val="24"/>
                <w:szCs w:val="24"/>
              </w:rPr>
              <w:t>Emory</w:t>
            </w:r>
            <w:r w:rsidRPr="00640B84">
              <w:rPr>
                <w:rFonts w:ascii="Times New Roman" w:eastAsia="Times New Roman" w:hAnsi="Times New Roman" w:cs="Times New Roman"/>
                <w:sz w:val="24"/>
                <w:szCs w:val="24"/>
              </w:rPr>
              <w:t xml:space="preserve"> OnCore: </w:t>
            </w:r>
            <w:r w:rsidR="00444BB0">
              <w:rPr>
                <w:rFonts w:ascii="Times New Roman" w:eastAsia="Times New Roman" w:hAnsi="Times New Roman" w:cs="Times New Roman"/>
                <w:sz w:val="24"/>
                <w:szCs w:val="24"/>
              </w:rPr>
              <w:t xml:space="preserve">Winship </w:t>
            </w:r>
            <w:r w:rsidRPr="00640B84">
              <w:rPr>
                <w:rFonts w:ascii="Times New Roman" w:eastAsia="Times New Roman" w:hAnsi="Times New Roman" w:cs="Times New Roman"/>
                <w:sz w:val="24"/>
                <w:szCs w:val="24"/>
              </w:rPr>
              <w:t xml:space="preserve">and </w:t>
            </w:r>
            <w:r w:rsidR="00444BB0">
              <w:rPr>
                <w:rFonts w:ascii="Times New Roman" w:eastAsia="Times New Roman" w:hAnsi="Times New Roman" w:cs="Times New Roman"/>
                <w:sz w:val="24"/>
                <w:szCs w:val="24"/>
              </w:rPr>
              <w:t xml:space="preserve">Emory </w:t>
            </w:r>
            <w:proofErr w:type="spellStart"/>
            <w:r w:rsidR="00444BB0">
              <w:rPr>
                <w:rFonts w:ascii="Times New Roman" w:eastAsia="Times New Roman" w:hAnsi="Times New Roman" w:cs="Times New Roman"/>
                <w:sz w:val="24"/>
                <w:szCs w:val="24"/>
              </w:rPr>
              <w:t>Enteprise</w:t>
            </w:r>
            <w:proofErr w:type="spellEnd"/>
            <w:r w:rsidRPr="00640B84">
              <w:rPr>
                <w:rFonts w:ascii="Times New Roman" w:eastAsia="Times New Roman" w:hAnsi="Times New Roman" w:cs="Times New Roman"/>
                <w:sz w:val="24"/>
                <w:szCs w:val="24"/>
              </w:rPr>
              <w:t xml:space="preserve"> (non-oncology).</w:t>
            </w:r>
          </w:p>
        </w:tc>
        <w:tc>
          <w:tcPr>
            <w:tcW w:w="2433" w:type="dxa"/>
            <w:vAlign w:val="center"/>
            <w:hideMark/>
          </w:tcPr>
          <w:p w14:paraId="0EC03CE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PC Console</w:t>
            </w:r>
          </w:p>
        </w:tc>
      </w:tr>
      <w:tr w:rsidR="00444BB0" w:rsidRPr="00640B84" w14:paraId="65F8FC17" w14:textId="77777777" w:rsidTr="00260783">
        <w:trPr>
          <w:tblCellSpacing w:w="15" w:type="dxa"/>
        </w:trPr>
        <w:tc>
          <w:tcPr>
            <w:tcW w:w="0" w:type="auto"/>
            <w:vAlign w:val="center"/>
            <w:hideMark/>
          </w:tcPr>
          <w:p w14:paraId="4E9D608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MRN</w:t>
            </w:r>
          </w:p>
        </w:tc>
        <w:tc>
          <w:tcPr>
            <w:tcW w:w="4204" w:type="dxa"/>
            <w:vAlign w:val="center"/>
            <w:hideMark/>
          </w:tcPr>
          <w:p w14:paraId="068C2FA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Medical Record Number</w:t>
            </w:r>
          </w:p>
        </w:tc>
        <w:tc>
          <w:tcPr>
            <w:tcW w:w="2433" w:type="dxa"/>
            <w:vAlign w:val="center"/>
            <w:hideMark/>
          </w:tcPr>
          <w:p w14:paraId="4B0DA82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3AA0FBC9" w14:textId="77777777" w:rsidTr="00260783">
        <w:trPr>
          <w:tblCellSpacing w:w="15" w:type="dxa"/>
        </w:trPr>
        <w:tc>
          <w:tcPr>
            <w:tcW w:w="0" w:type="auto"/>
            <w:vAlign w:val="center"/>
            <w:hideMark/>
          </w:tcPr>
          <w:p w14:paraId="1BEBFE5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NCI</w:t>
            </w:r>
          </w:p>
        </w:tc>
        <w:tc>
          <w:tcPr>
            <w:tcW w:w="4204" w:type="dxa"/>
            <w:vAlign w:val="center"/>
            <w:hideMark/>
          </w:tcPr>
          <w:p w14:paraId="4788E60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National Cancer Institute</w:t>
            </w:r>
          </w:p>
        </w:tc>
        <w:tc>
          <w:tcPr>
            <w:tcW w:w="2433" w:type="dxa"/>
            <w:vAlign w:val="center"/>
            <w:hideMark/>
          </w:tcPr>
          <w:p w14:paraId="69ECC07A"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452B295E" w14:textId="77777777" w:rsidTr="00260783">
        <w:trPr>
          <w:tblCellSpacing w:w="15" w:type="dxa"/>
        </w:trPr>
        <w:tc>
          <w:tcPr>
            <w:tcW w:w="0" w:type="auto"/>
            <w:vAlign w:val="center"/>
            <w:hideMark/>
          </w:tcPr>
          <w:p w14:paraId="4CE8245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NCT Number</w:t>
            </w:r>
          </w:p>
        </w:tc>
        <w:tc>
          <w:tcPr>
            <w:tcW w:w="4204" w:type="dxa"/>
            <w:vAlign w:val="center"/>
            <w:hideMark/>
          </w:tcPr>
          <w:p w14:paraId="00C6DAA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National Clinical Trials Number in ClinicalTrials.gov</w:t>
            </w:r>
          </w:p>
        </w:tc>
        <w:tc>
          <w:tcPr>
            <w:tcW w:w="2433" w:type="dxa"/>
            <w:vAlign w:val="center"/>
            <w:hideMark/>
          </w:tcPr>
          <w:p w14:paraId="67BFD3B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28038618" w14:textId="77777777" w:rsidTr="00260783">
        <w:trPr>
          <w:tblCellSpacing w:w="15" w:type="dxa"/>
        </w:trPr>
        <w:tc>
          <w:tcPr>
            <w:tcW w:w="0" w:type="auto"/>
            <w:vAlign w:val="center"/>
            <w:hideMark/>
          </w:tcPr>
          <w:p w14:paraId="23DEDE6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Objectives</w:t>
            </w:r>
          </w:p>
        </w:tc>
        <w:tc>
          <w:tcPr>
            <w:tcW w:w="4204" w:type="dxa"/>
            <w:vAlign w:val="center"/>
            <w:hideMark/>
          </w:tcPr>
          <w:p w14:paraId="3807EF4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Identifies the objective for the protocol according to your institution's SOPs. Objectives populate to the SIP Console and display on the public website.</w:t>
            </w:r>
          </w:p>
        </w:tc>
        <w:tc>
          <w:tcPr>
            <w:tcW w:w="2433" w:type="dxa"/>
            <w:vAlign w:val="center"/>
            <w:hideMark/>
          </w:tcPr>
          <w:p w14:paraId="2373AEB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428D57A" w14:textId="77777777" w:rsidTr="00260783">
        <w:trPr>
          <w:tblCellSpacing w:w="15" w:type="dxa"/>
        </w:trPr>
        <w:tc>
          <w:tcPr>
            <w:tcW w:w="0" w:type="auto"/>
            <w:vAlign w:val="center"/>
            <w:hideMark/>
          </w:tcPr>
          <w:p w14:paraId="2A3BFCB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OnCore Administrator</w:t>
            </w:r>
          </w:p>
        </w:tc>
        <w:tc>
          <w:tcPr>
            <w:tcW w:w="4204" w:type="dxa"/>
            <w:vAlign w:val="center"/>
            <w:hideMark/>
          </w:tcPr>
          <w:p w14:paraId="5A5BDD7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staff assigned to maintain the OnCore database.</w:t>
            </w:r>
          </w:p>
        </w:tc>
        <w:tc>
          <w:tcPr>
            <w:tcW w:w="2433" w:type="dxa"/>
            <w:vAlign w:val="center"/>
            <w:hideMark/>
          </w:tcPr>
          <w:p w14:paraId="114AF86B" w14:textId="7E9205C3" w:rsidR="00640B84" w:rsidRPr="00640B84" w:rsidRDefault="00885B47" w:rsidP="00640B84">
            <w:pPr>
              <w:spacing w:after="0" w:line="240" w:lineRule="auto"/>
              <w:rPr>
                <w:rFonts w:ascii="Times New Roman" w:eastAsia="Times New Roman" w:hAnsi="Times New Roman" w:cs="Times New Roman"/>
                <w:sz w:val="24"/>
                <w:szCs w:val="24"/>
              </w:rPr>
            </w:pPr>
            <w:hyperlink r:id="rId7" w:history="1">
              <w:r w:rsidR="00444BB0" w:rsidRPr="00E030AD">
                <w:rPr>
                  <w:rStyle w:val="Hyperlink"/>
                  <w:rFonts w:ascii="Times New Roman" w:eastAsia="Times New Roman" w:hAnsi="Times New Roman" w:cs="Times New Roman"/>
                  <w:sz w:val="24"/>
                  <w:szCs w:val="24"/>
                </w:rPr>
                <w:t>OCR@Emory.edu</w:t>
              </w:r>
            </w:hyperlink>
            <w:r w:rsidR="00444BB0">
              <w:rPr>
                <w:rFonts w:ascii="Times New Roman" w:eastAsia="Times New Roman" w:hAnsi="Times New Roman" w:cs="Times New Roman"/>
                <w:sz w:val="24"/>
                <w:szCs w:val="24"/>
              </w:rPr>
              <w:t xml:space="preserve"> </w:t>
            </w:r>
          </w:p>
        </w:tc>
      </w:tr>
      <w:tr w:rsidR="00444BB0" w:rsidRPr="00640B84" w14:paraId="662618E4" w14:textId="77777777" w:rsidTr="00260783">
        <w:trPr>
          <w:tblCellSpacing w:w="15" w:type="dxa"/>
        </w:trPr>
        <w:tc>
          <w:tcPr>
            <w:tcW w:w="0" w:type="auto"/>
            <w:vAlign w:val="center"/>
            <w:hideMark/>
          </w:tcPr>
          <w:p w14:paraId="2D924A1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Organizational Unit</w:t>
            </w:r>
          </w:p>
        </w:tc>
        <w:tc>
          <w:tcPr>
            <w:tcW w:w="4204" w:type="dxa"/>
            <w:vAlign w:val="center"/>
            <w:hideMark/>
          </w:tcPr>
          <w:p w14:paraId="6030301C" w14:textId="774A492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Organizational Units are used to organize protocols into logical structural divisions, which is useful for reporting purposes and to restrict access to protocols. The permission scope of Organizational Unit is driven </w:t>
            </w:r>
            <w:proofErr w:type="gramStart"/>
            <w:r w:rsidRPr="00640B84">
              <w:rPr>
                <w:rFonts w:ascii="Times New Roman" w:eastAsia="Times New Roman" w:hAnsi="Times New Roman" w:cs="Times New Roman"/>
                <w:sz w:val="24"/>
                <w:szCs w:val="24"/>
              </w:rPr>
              <w:t>off of</w:t>
            </w:r>
            <w:proofErr w:type="gramEnd"/>
            <w:r w:rsidRPr="00640B84">
              <w:rPr>
                <w:rFonts w:ascii="Times New Roman" w:eastAsia="Times New Roman" w:hAnsi="Times New Roman" w:cs="Times New Roman"/>
                <w:sz w:val="24"/>
                <w:szCs w:val="24"/>
              </w:rPr>
              <w:t xml:space="preserve"> this field. At </w:t>
            </w:r>
            <w:r w:rsidR="00444BB0" w:rsidRPr="00444BB0">
              <w:rPr>
                <w:rFonts w:ascii="Times New Roman" w:eastAsia="Times New Roman" w:hAnsi="Times New Roman" w:cs="Times New Roman"/>
                <w:sz w:val="24"/>
                <w:szCs w:val="24"/>
              </w:rPr>
              <w:t>Emory University</w:t>
            </w:r>
            <w:r w:rsidRPr="00640B84">
              <w:rPr>
                <w:rFonts w:ascii="Times New Roman" w:eastAsia="Times New Roman" w:hAnsi="Times New Roman" w:cs="Times New Roman"/>
                <w:sz w:val="24"/>
                <w:szCs w:val="24"/>
              </w:rPr>
              <w:t>, we have two OUs: Cancer Center or Academic Health Center .</w:t>
            </w:r>
          </w:p>
        </w:tc>
        <w:tc>
          <w:tcPr>
            <w:tcW w:w="2433" w:type="dxa"/>
            <w:vAlign w:val="center"/>
            <w:hideMark/>
          </w:tcPr>
          <w:p w14:paraId="33B29C6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645DF5E" w14:textId="77777777" w:rsidTr="00260783">
        <w:trPr>
          <w:tblCellSpacing w:w="15" w:type="dxa"/>
        </w:trPr>
        <w:tc>
          <w:tcPr>
            <w:tcW w:w="0" w:type="auto"/>
            <w:vAlign w:val="center"/>
            <w:hideMark/>
          </w:tcPr>
          <w:p w14:paraId="5E95D2F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OU</w:t>
            </w:r>
          </w:p>
        </w:tc>
        <w:tc>
          <w:tcPr>
            <w:tcW w:w="4204" w:type="dxa"/>
            <w:vAlign w:val="center"/>
            <w:hideMark/>
          </w:tcPr>
          <w:p w14:paraId="34CC574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See Organizational Unit</w:t>
            </w:r>
          </w:p>
        </w:tc>
        <w:tc>
          <w:tcPr>
            <w:tcW w:w="2433" w:type="dxa"/>
            <w:vAlign w:val="center"/>
            <w:hideMark/>
          </w:tcPr>
          <w:p w14:paraId="1E3C318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6A30B784" w14:textId="77777777" w:rsidTr="00260783">
        <w:trPr>
          <w:tblCellSpacing w:w="15" w:type="dxa"/>
        </w:trPr>
        <w:tc>
          <w:tcPr>
            <w:tcW w:w="0" w:type="auto"/>
            <w:vAlign w:val="center"/>
            <w:hideMark/>
          </w:tcPr>
          <w:p w14:paraId="4196D74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w:t>
            </w:r>
          </w:p>
        </w:tc>
        <w:tc>
          <w:tcPr>
            <w:tcW w:w="4204" w:type="dxa"/>
            <w:vAlign w:val="center"/>
            <w:hideMark/>
          </w:tcPr>
          <w:p w14:paraId="52CD156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Protocol Coordinator Role</w:t>
            </w:r>
          </w:p>
        </w:tc>
        <w:tc>
          <w:tcPr>
            <w:tcW w:w="2433" w:type="dxa"/>
            <w:vAlign w:val="center"/>
            <w:hideMark/>
          </w:tcPr>
          <w:p w14:paraId="20BC12F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Access</w:t>
            </w:r>
          </w:p>
        </w:tc>
      </w:tr>
      <w:tr w:rsidR="00444BB0" w:rsidRPr="00640B84" w14:paraId="5726419C" w14:textId="77777777" w:rsidTr="00260783">
        <w:trPr>
          <w:tblCellSpacing w:w="15" w:type="dxa"/>
        </w:trPr>
        <w:tc>
          <w:tcPr>
            <w:tcW w:w="0" w:type="auto"/>
            <w:vAlign w:val="center"/>
            <w:hideMark/>
          </w:tcPr>
          <w:p w14:paraId="69FD33B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c>
          <w:tcPr>
            <w:tcW w:w="4204" w:type="dxa"/>
            <w:vAlign w:val="center"/>
            <w:hideMark/>
          </w:tcPr>
          <w:p w14:paraId="31B601D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PC Console displays information about one protocol at a time: details that might be of interest to a Protocol Coordinator. The PC Console includes the protocol number and title, the type of study, the staff assigned to the protocol, the protocol sponsor, and other protocol-related information.</w:t>
            </w:r>
          </w:p>
        </w:tc>
        <w:tc>
          <w:tcPr>
            <w:tcW w:w="2433" w:type="dxa"/>
            <w:vAlign w:val="center"/>
            <w:hideMark/>
          </w:tcPr>
          <w:p w14:paraId="2E7199C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48D2E187" w14:textId="77777777" w:rsidTr="00260783">
        <w:trPr>
          <w:tblCellSpacing w:w="15" w:type="dxa"/>
        </w:trPr>
        <w:tc>
          <w:tcPr>
            <w:tcW w:w="0" w:type="auto"/>
            <w:vAlign w:val="center"/>
            <w:hideMark/>
          </w:tcPr>
          <w:p w14:paraId="71AFEC5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PDQ</w:t>
            </w:r>
          </w:p>
        </w:tc>
        <w:tc>
          <w:tcPr>
            <w:tcW w:w="4204" w:type="dxa"/>
            <w:vAlign w:val="center"/>
            <w:hideMark/>
          </w:tcPr>
          <w:p w14:paraId="050AAA5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Physician Data Query</w:t>
            </w:r>
          </w:p>
        </w:tc>
        <w:tc>
          <w:tcPr>
            <w:tcW w:w="2433" w:type="dxa"/>
            <w:vAlign w:val="center"/>
            <w:hideMark/>
          </w:tcPr>
          <w:p w14:paraId="05347756"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306410C7" w14:textId="77777777" w:rsidTr="00260783">
        <w:trPr>
          <w:tblCellSpacing w:w="15" w:type="dxa"/>
        </w:trPr>
        <w:tc>
          <w:tcPr>
            <w:tcW w:w="0" w:type="auto"/>
            <w:vAlign w:val="center"/>
            <w:hideMark/>
          </w:tcPr>
          <w:p w14:paraId="5D22D63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Phase</w:t>
            </w:r>
          </w:p>
        </w:tc>
        <w:tc>
          <w:tcPr>
            <w:tcW w:w="4204" w:type="dxa"/>
            <w:vAlign w:val="center"/>
            <w:hideMark/>
          </w:tcPr>
          <w:p w14:paraId="1C81554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Indicates the study phase of the protocol. The phase selected here populates to the SIP Console and displays on the public website. Protocol Search provides a Search By Phase option.</w:t>
            </w:r>
          </w:p>
        </w:tc>
        <w:tc>
          <w:tcPr>
            <w:tcW w:w="2433" w:type="dxa"/>
            <w:vAlign w:val="center"/>
            <w:hideMark/>
          </w:tcPr>
          <w:p w14:paraId="28B12EF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611D507C" w14:textId="77777777" w:rsidTr="00260783">
        <w:trPr>
          <w:tblCellSpacing w:w="15" w:type="dxa"/>
        </w:trPr>
        <w:tc>
          <w:tcPr>
            <w:tcW w:w="0" w:type="auto"/>
            <w:vAlign w:val="center"/>
            <w:hideMark/>
          </w:tcPr>
          <w:p w14:paraId="09E4619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PI</w:t>
            </w:r>
          </w:p>
        </w:tc>
        <w:tc>
          <w:tcPr>
            <w:tcW w:w="4204" w:type="dxa"/>
            <w:vAlign w:val="center"/>
            <w:hideMark/>
          </w:tcPr>
          <w:p w14:paraId="198163C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Principle Investigator. A principal investigator is responsible for the overall </w:t>
            </w:r>
            <w:r w:rsidRPr="00640B84">
              <w:rPr>
                <w:rFonts w:ascii="Times New Roman" w:eastAsia="Times New Roman" w:hAnsi="Times New Roman" w:cs="Times New Roman"/>
                <w:sz w:val="24"/>
                <w:szCs w:val="24"/>
              </w:rPr>
              <w:lastRenderedPageBreak/>
              <w:t>conduct of the clinical trial at his/her site.</w:t>
            </w:r>
          </w:p>
        </w:tc>
        <w:tc>
          <w:tcPr>
            <w:tcW w:w="2433" w:type="dxa"/>
            <w:vAlign w:val="center"/>
            <w:hideMark/>
          </w:tcPr>
          <w:p w14:paraId="13DEB04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PC Console</w:t>
            </w:r>
          </w:p>
        </w:tc>
      </w:tr>
      <w:tr w:rsidR="00444BB0" w:rsidRPr="00640B84" w14:paraId="634FBB6A" w14:textId="77777777" w:rsidTr="00260783">
        <w:trPr>
          <w:tblCellSpacing w:w="15" w:type="dxa"/>
        </w:trPr>
        <w:tc>
          <w:tcPr>
            <w:tcW w:w="0" w:type="auto"/>
            <w:vAlign w:val="center"/>
            <w:hideMark/>
          </w:tcPr>
          <w:p w14:paraId="3CA583D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PRMC</w:t>
            </w:r>
          </w:p>
        </w:tc>
        <w:tc>
          <w:tcPr>
            <w:tcW w:w="4204" w:type="dxa"/>
            <w:vAlign w:val="center"/>
            <w:hideMark/>
          </w:tcPr>
          <w:p w14:paraId="34BF539A" w14:textId="76ED7C1F" w:rsidR="00640B84" w:rsidRPr="00640B84" w:rsidRDefault="004C0480" w:rsidP="00640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Winship </w:t>
            </w:r>
            <w:r w:rsidR="00640B84" w:rsidRPr="00640B84">
              <w:rPr>
                <w:rFonts w:ascii="Times New Roman" w:eastAsia="Times New Roman" w:hAnsi="Times New Roman" w:cs="Times New Roman"/>
                <w:sz w:val="24"/>
                <w:szCs w:val="24"/>
              </w:rPr>
              <w:t xml:space="preserve">Cancer </w:t>
            </w:r>
            <w:r>
              <w:rPr>
                <w:rFonts w:ascii="Times New Roman" w:eastAsia="Times New Roman" w:hAnsi="Times New Roman" w:cs="Times New Roman"/>
                <w:sz w:val="24"/>
                <w:szCs w:val="24"/>
              </w:rPr>
              <w:t>Institute</w:t>
            </w:r>
            <w:r w:rsidR="00640B84" w:rsidRPr="00640B84">
              <w:rPr>
                <w:rFonts w:ascii="Times New Roman" w:eastAsia="Times New Roman" w:hAnsi="Times New Roman" w:cs="Times New Roman"/>
                <w:sz w:val="24"/>
                <w:szCs w:val="24"/>
              </w:rPr>
              <w:t xml:space="preserve"> Protocol Review and Monitoring Committee. </w:t>
            </w:r>
          </w:p>
        </w:tc>
        <w:tc>
          <w:tcPr>
            <w:tcW w:w="2433" w:type="dxa"/>
            <w:vAlign w:val="center"/>
            <w:hideMark/>
          </w:tcPr>
          <w:p w14:paraId="2AF710E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0C3637F5" w14:textId="77777777" w:rsidTr="00260783">
        <w:trPr>
          <w:tblCellSpacing w:w="15" w:type="dxa"/>
        </w:trPr>
        <w:tc>
          <w:tcPr>
            <w:tcW w:w="0" w:type="auto"/>
            <w:vAlign w:val="center"/>
            <w:hideMark/>
          </w:tcPr>
          <w:p w14:paraId="04D5C16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PRMC Coordinator</w:t>
            </w:r>
          </w:p>
        </w:tc>
        <w:tc>
          <w:tcPr>
            <w:tcW w:w="4204" w:type="dxa"/>
            <w:vAlign w:val="center"/>
            <w:hideMark/>
          </w:tcPr>
          <w:p w14:paraId="176860F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The Protocol Review and Monitoring Committee Coordinator manages the PRMC meeting agendas, tracks submissions, tracks committee decisions, and manages communications between the investigators and the PRMC. </w:t>
            </w:r>
          </w:p>
        </w:tc>
        <w:tc>
          <w:tcPr>
            <w:tcW w:w="2433" w:type="dxa"/>
            <w:vAlign w:val="center"/>
            <w:hideMark/>
          </w:tcPr>
          <w:p w14:paraId="1A5D669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50D84A2C" w14:textId="77777777" w:rsidTr="00260783">
        <w:trPr>
          <w:tblCellSpacing w:w="15" w:type="dxa"/>
        </w:trPr>
        <w:tc>
          <w:tcPr>
            <w:tcW w:w="0" w:type="auto"/>
            <w:vAlign w:val="center"/>
            <w:hideMark/>
          </w:tcPr>
          <w:p w14:paraId="170D57D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PRMS</w:t>
            </w:r>
          </w:p>
        </w:tc>
        <w:tc>
          <w:tcPr>
            <w:tcW w:w="4204" w:type="dxa"/>
            <w:vAlign w:val="center"/>
            <w:hideMark/>
          </w:tcPr>
          <w:p w14:paraId="75EFC8E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Protocol Review Meeting System for Cancer studies.</w:t>
            </w:r>
          </w:p>
        </w:tc>
        <w:tc>
          <w:tcPr>
            <w:tcW w:w="2433" w:type="dxa"/>
            <w:vAlign w:val="center"/>
            <w:hideMark/>
          </w:tcPr>
          <w:p w14:paraId="0AFAC15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7A565CDB" w14:textId="77777777" w:rsidTr="00260783">
        <w:trPr>
          <w:tblCellSpacing w:w="15" w:type="dxa"/>
        </w:trPr>
        <w:tc>
          <w:tcPr>
            <w:tcW w:w="0" w:type="auto"/>
            <w:vAlign w:val="center"/>
            <w:hideMark/>
          </w:tcPr>
          <w:p w14:paraId="14A267D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Protocol No.</w:t>
            </w:r>
          </w:p>
        </w:tc>
        <w:tc>
          <w:tcPr>
            <w:tcW w:w="4204" w:type="dxa"/>
            <w:vAlign w:val="center"/>
            <w:hideMark/>
          </w:tcPr>
          <w:p w14:paraId="357614C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A unique, </w:t>
            </w:r>
            <w:proofErr w:type="gramStart"/>
            <w:r w:rsidRPr="00640B84">
              <w:rPr>
                <w:rFonts w:ascii="Times New Roman" w:eastAsia="Times New Roman" w:hAnsi="Times New Roman" w:cs="Times New Roman"/>
                <w:sz w:val="24"/>
                <w:szCs w:val="24"/>
              </w:rPr>
              <w:t>automatically-generated</w:t>
            </w:r>
            <w:proofErr w:type="gramEnd"/>
            <w:r w:rsidRPr="00640B84">
              <w:rPr>
                <w:rFonts w:ascii="Times New Roman" w:eastAsia="Times New Roman" w:hAnsi="Times New Roman" w:cs="Times New Roman"/>
                <w:sz w:val="24"/>
                <w:szCs w:val="24"/>
              </w:rPr>
              <w:t xml:space="preserve"> protocol identifier in OnCore.</w:t>
            </w:r>
          </w:p>
        </w:tc>
        <w:tc>
          <w:tcPr>
            <w:tcW w:w="2433" w:type="dxa"/>
            <w:vAlign w:val="center"/>
            <w:hideMark/>
          </w:tcPr>
          <w:p w14:paraId="0E08955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7D8558F6" w14:textId="77777777" w:rsidTr="00260783">
        <w:trPr>
          <w:tblCellSpacing w:w="15" w:type="dxa"/>
        </w:trPr>
        <w:tc>
          <w:tcPr>
            <w:tcW w:w="0" w:type="auto"/>
            <w:vAlign w:val="center"/>
            <w:hideMark/>
          </w:tcPr>
          <w:p w14:paraId="5E35427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QCT</w:t>
            </w:r>
          </w:p>
        </w:tc>
        <w:tc>
          <w:tcPr>
            <w:tcW w:w="4204" w:type="dxa"/>
            <w:vAlign w:val="center"/>
            <w:hideMark/>
          </w:tcPr>
          <w:p w14:paraId="3C444B8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Qualifying Clinical Trial</w:t>
            </w:r>
          </w:p>
        </w:tc>
        <w:tc>
          <w:tcPr>
            <w:tcW w:w="2433" w:type="dxa"/>
            <w:vAlign w:val="center"/>
            <w:hideMark/>
          </w:tcPr>
          <w:p w14:paraId="2311D0D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Financials, </w:t>
            </w:r>
            <w:proofErr w:type="spellStart"/>
            <w:r w:rsidRPr="00640B84">
              <w:rPr>
                <w:rFonts w:ascii="Times New Roman" w:eastAsia="Times New Roman" w:hAnsi="Times New Roman" w:cs="Times New Roman"/>
                <w:sz w:val="24"/>
                <w:szCs w:val="24"/>
              </w:rPr>
              <w:t>Covergae</w:t>
            </w:r>
            <w:proofErr w:type="spellEnd"/>
            <w:r w:rsidRPr="00640B84">
              <w:rPr>
                <w:rFonts w:ascii="Times New Roman" w:eastAsia="Times New Roman" w:hAnsi="Times New Roman" w:cs="Times New Roman"/>
                <w:sz w:val="24"/>
                <w:szCs w:val="24"/>
              </w:rPr>
              <w:t xml:space="preserve"> Analysis </w:t>
            </w:r>
          </w:p>
        </w:tc>
      </w:tr>
      <w:tr w:rsidR="00444BB0" w:rsidRPr="00640B84" w14:paraId="0DE559BE" w14:textId="77777777" w:rsidTr="00260783">
        <w:trPr>
          <w:tblCellSpacing w:w="15" w:type="dxa"/>
        </w:trPr>
        <w:tc>
          <w:tcPr>
            <w:tcW w:w="0" w:type="auto"/>
            <w:vAlign w:val="center"/>
            <w:hideMark/>
          </w:tcPr>
          <w:p w14:paraId="7FB2D08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RC</w:t>
            </w:r>
          </w:p>
        </w:tc>
        <w:tc>
          <w:tcPr>
            <w:tcW w:w="4204" w:type="dxa"/>
            <w:vAlign w:val="center"/>
            <w:hideMark/>
          </w:tcPr>
          <w:p w14:paraId="09F77C6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Research Center</w:t>
            </w:r>
          </w:p>
        </w:tc>
        <w:tc>
          <w:tcPr>
            <w:tcW w:w="2433" w:type="dxa"/>
            <w:vAlign w:val="center"/>
            <w:hideMark/>
          </w:tcPr>
          <w:p w14:paraId="766B4FE7"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586861D8" w14:textId="77777777" w:rsidTr="00260783">
        <w:trPr>
          <w:tblCellSpacing w:w="15" w:type="dxa"/>
        </w:trPr>
        <w:tc>
          <w:tcPr>
            <w:tcW w:w="0" w:type="auto"/>
            <w:vAlign w:val="center"/>
            <w:hideMark/>
          </w:tcPr>
          <w:p w14:paraId="32B0753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Reference Codes</w:t>
            </w:r>
          </w:p>
        </w:tc>
        <w:tc>
          <w:tcPr>
            <w:tcW w:w="4204" w:type="dxa"/>
            <w:vAlign w:val="center"/>
            <w:hideMark/>
          </w:tcPr>
          <w:p w14:paraId="368D726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Values that populate drop-down fields throughout OnCore.</w:t>
            </w:r>
          </w:p>
        </w:tc>
        <w:tc>
          <w:tcPr>
            <w:tcW w:w="2433" w:type="dxa"/>
            <w:vAlign w:val="center"/>
            <w:hideMark/>
          </w:tcPr>
          <w:p w14:paraId="6B69E44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Coverage Analysis</w:t>
            </w:r>
          </w:p>
        </w:tc>
      </w:tr>
      <w:tr w:rsidR="00444BB0" w:rsidRPr="00640B84" w14:paraId="24568585" w14:textId="77777777" w:rsidTr="00260783">
        <w:trPr>
          <w:tblCellSpacing w:w="15" w:type="dxa"/>
        </w:trPr>
        <w:tc>
          <w:tcPr>
            <w:tcW w:w="0" w:type="auto"/>
            <w:vAlign w:val="center"/>
            <w:hideMark/>
          </w:tcPr>
          <w:p w14:paraId="377E8FA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RR</w:t>
            </w:r>
          </w:p>
        </w:tc>
        <w:tc>
          <w:tcPr>
            <w:tcW w:w="4204" w:type="dxa"/>
            <w:vAlign w:val="center"/>
            <w:hideMark/>
          </w:tcPr>
          <w:p w14:paraId="0D5AFBD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Re-consent Required - used to indicate a re-consent requirement for enrolled subjects.</w:t>
            </w:r>
          </w:p>
        </w:tc>
        <w:tc>
          <w:tcPr>
            <w:tcW w:w="2433" w:type="dxa"/>
            <w:vAlign w:val="center"/>
            <w:hideMark/>
          </w:tcPr>
          <w:p w14:paraId="767C946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7190F2E4" w14:textId="77777777" w:rsidTr="00260783">
        <w:trPr>
          <w:tblCellSpacing w:w="15" w:type="dxa"/>
        </w:trPr>
        <w:tc>
          <w:tcPr>
            <w:tcW w:w="0" w:type="auto"/>
            <w:vAlign w:val="center"/>
            <w:hideMark/>
          </w:tcPr>
          <w:p w14:paraId="264CFF1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SAE</w:t>
            </w:r>
          </w:p>
        </w:tc>
        <w:tc>
          <w:tcPr>
            <w:tcW w:w="4204" w:type="dxa"/>
            <w:vAlign w:val="center"/>
            <w:hideMark/>
          </w:tcPr>
          <w:p w14:paraId="72E2923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See Serious Adverse Event</w:t>
            </w:r>
          </w:p>
        </w:tc>
        <w:tc>
          <w:tcPr>
            <w:tcW w:w="2433" w:type="dxa"/>
            <w:vAlign w:val="center"/>
            <w:hideMark/>
          </w:tcPr>
          <w:p w14:paraId="790FE35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Subjects</w:t>
            </w:r>
          </w:p>
        </w:tc>
      </w:tr>
      <w:tr w:rsidR="00444BB0" w:rsidRPr="00640B84" w14:paraId="33EB15E9" w14:textId="77777777" w:rsidTr="00260783">
        <w:trPr>
          <w:tblCellSpacing w:w="15" w:type="dxa"/>
        </w:trPr>
        <w:tc>
          <w:tcPr>
            <w:tcW w:w="0" w:type="auto"/>
            <w:vAlign w:val="center"/>
            <w:hideMark/>
          </w:tcPr>
          <w:p w14:paraId="60C30BE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SC</w:t>
            </w:r>
          </w:p>
        </w:tc>
        <w:tc>
          <w:tcPr>
            <w:tcW w:w="4204" w:type="dxa"/>
            <w:vAlign w:val="center"/>
            <w:hideMark/>
          </w:tcPr>
          <w:p w14:paraId="35ABF56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Study Coordinator Role</w:t>
            </w:r>
          </w:p>
        </w:tc>
        <w:tc>
          <w:tcPr>
            <w:tcW w:w="2433" w:type="dxa"/>
            <w:vAlign w:val="center"/>
            <w:hideMark/>
          </w:tcPr>
          <w:p w14:paraId="20F3615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Access</w:t>
            </w:r>
          </w:p>
        </w:tc>
      </w:tr>
      <w:tr w:rsidR="00444BB0" w:rsidRPr="00640B84" w14:paraId="7F0AB698" w14:textId="77777777" w:rsidTr="00260783">
        <w:trPr>
          <w:tblCellSpacing w:w="15" w:type="dxa"/>
        </w:trPr>
        <w:tc>
          <w:tcPr>
            <w:tcW w:w="0" w:type="auto"/>
            <w:vAlign w:val="center"/>
            <w:hideMark/>
          </w:tcPr>
          <w:p w14:paraId="5CB45F6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Scope</w:t>
            </w:r>
          </w:p>
        </w:tc>
        <w:tc>
          <w:tcPr>
            <w:tcW w:w="4204" w:type="dxa"/>
            <w:vAlign w:val="center"/>
            <w:hideMark/>
          </w:tcPr>
          <w:p w14:paraId="0EBD423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Indicates the enrollment scope. Typically, 'Local' indicates the trial will only be open for the research center, 'National' indicates a multi-institutional trial. This is an information-only field and does not indicate scope for Data Table 4 reporting or any other functionality.</w:t>
            </w:r>
          </w:p>
        </w:tc>
        <w:tc>
          <w:tcPr>
            <w:tcW w:w="2433" w:type="dxa"/>
            <w:vAlign w:val="center"/>
            <w:hideMark/>
          </w:tcPr>
          <w:p w14:paraId="0DA1461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56A4E196" w14:textId="77777777" w:rsidTr="00260783">
        <w:trPr>
          <w:tblCellSpacing w:w="15" w:type="dxa"/>
        </w:trPr>
        <w:tc>
          <w:tcPr>
            <w:tcW w:w="0" w:type="auto"/>
            <w:vAlign w:val="center"/>
            <w:hideMark/>
          </w:tcPr>
          <w:p w14:paraId="590BE80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Serious Adverse Event</w:t>
            </w:r>
          </w:p>
        </w:tc>
        <w:tc>
          <w:tcPr>
            <w:tcW w:w="4204" w:type="dxa"/>
            <w:vAlign w:val="center"/>
            <w:hideMark/>
          </w:tcPr>
          <w:p w14:paraId="38D1CD8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Any untoward medical occurrence that at any dose results in death, is life-threatening, requires inpatient hospitalization or prolongation of existing hospitalization, results in persistent or significant disability/incapacity, or is a congenital </w:t>
            </w:r>
            <w:r w:rsidRPr="00640B84">
              <w:rPr>
                <w:rFonts w:ascii="Times New Roman" w:eastAsia="Times New Roman" w:hAnsi="Times New Roman" w:cs="Times New Roman"/>
                <w:sz w:val="24"/>
                <w:szCs w:val="24"/>
              </w:rPr>
              <w:lastRenderedPageBreak/>
              <w:t>anomaly/birth defect or requires medical or surgical interventions to prevent any of the above outcomes.</w:t>
            </w:r>
          </w:p>
        </w:tc>
        <w:tc>
          <w:tcPr>
            <w:tcW w:w="2433" w:type="dxa"/>
            <w:vAlign w:val="center"/>
            <w:hideMark/>
          </w:tcPr>
          <w:p w14:paraId="63C6A49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Subjects</w:t>
            </w:r>
          </w:p>
        </w:tc>
      </w:tr>
      <w:tr w:rsidR="00444BB0" w:rsidRPr="00640B84" w14:paraId="0F0477E3" w14:textId="77777777" w:rsidTr="00260783">
        <w:trPr>
          <w:tblCellSpacing w:w="15" w:type="dxa"/>
        </w:trPr>
        <w:tc>
          <w:tcPr>
            <w:tcW w:w="0" w:type="auto"/>
            <w:vAlign w:val="center"/>
            <w:hideMark/>
          </w:tcPr>
          <w:p w14:paraId="0E6F223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Short Title</w:t>
            </w:r>
          </w:p>
        </w:tc>
        <w:tc>
          <w:tcPr>
            <w:tcW w:w="4204" w:type="dxa"/>
            <w:vAlign w:val="center"/>
            <w:hideMark/>
          </w:tcPr>
          <w:p w14:paraId="587F7E7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Contains abbreviated version (100 characters maximum) of the protocol title. The short title entered here populates to other screens within OnCore and is displayed in some reports. The Short Title and Title both populate to the SIP Console.</w:t>
            </w:r>
          </w:p>
        </w:tc>
        <w:tc>
          <w:tcPr>
            <w:tcW w:w="2433" w:type="dxa"/>
            <w:vAlign w:val="center"/>
            <w:hideMark/>
          </w:tcPr>
          <w:p w14:paraId="2E22FB0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PC Console, SIP Console </w:t>
            </w:r>
          </w:p>
        </w:tc>
      </w:tr>
      <w:tr w:rsidR="00444BB0" w:rsidRPr="00640B84" w14:paraId="0FACD014" w14:textId="77777777" w:rsidTr="00260783">
        <w:trPr>
          <w:tblCellSpacing w:w="15" w:type="dxa"/>
        </w:trPr>
        <w:tc>
          <w:tcPr>
            <w:tcW w:w="0" w:type="auto"/>
            <w:vAlign w:val="center"/>
            <w:hideMark/>
          </w:tcPr>
          <w:p w14:paraId="3977F21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Specifications</w:t>
            </w:r>
          </w:p>
        </w:tc>
        <w:tc>
          <w:tcPr>
            <w:tcW w:w="4204" w:type="dxa"/>
            <w:vAlign w:val="center"/>
            <w:hideMark/>
          </w:tcPr>
          <w:p w14:paraId="49903AA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base template for a OnCore study calendar.</w:t>
            </w:r>
          </w:p>
        </w:tc>
        <w:tc>
          <w:tcPr>
            <w:tcW w:w="2433" w:type="dxa"/>
            <w:vAlign w:val="center"/>
            <w:hideMark/>
          </w:tcPr>
          <w:p w14:paraId="3D26AC4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Calendars</w:t>
            </w:r>
          </w:p>
        </w:tc>
      </w:tr>
      <w:tr w:rsidR="00444BB0" w:rsidRPr="00640B84" w14:paraId="6C95EBE4" w14:textId="77777777" w:rsidTr="00260783">
        <w:trPr>
          <w:tblCellSpacing w:w="15" w:type="dxa"/>
        </w:trPr>
        <w:tc>
          <w:tcPr>
            <w:tcW w:w="0" w:type="auto"/>
            <w:vAlign w:val="center"/>
            <w:hideMark/>
          </w:tcPr>
          <w:p w14:paraId="73B75B64"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Specimen Banking</w:t>
            </w:r>
          </w:p>
        </w:tc>
        <w:tc>
          <w:tcPr>
            <w:tcW w:w="4204" w:type="dxa"/>
            <w:vAlign w:val="center"/>
            <w:hideMark/>
          </w:tcPr>
          <w:p w14:paraId="5C39FA25"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Using the OnCore </w:t>
            </w:r>
            <w:proofErr w:type="spellStart"/>
            <w:r w:rsidRPr="00640B84">
              <w:rPr>
                <w:rFonts w:ascii="Times New Roman" w:eastAsia="Times New Roman" w:hAnsi="Times New Roman" w:cs="Times New Roman"/>
                <w:sz w:val="24"/>
                <w:szCs w:val="24"/>
              </w:rPr>
              <w:t>BioSpecimen</w:t>
            </w:r>
            <w:proofErr w:type="spellEnd"/>
            <w:r w:rsidRPr="00640B84">
              <w:rPr>
                <w:rFonts w:ascii="Times New Roman" w:eastAsia="Times New Roman" w:hAnsi="Times New Roman" w:cs="Times New Roman"/>
                <w:sz w:val="24"/>
                <w:szCs w:val="24"/>
              </w:rPr>
              <w:t xml:space="preserve"> Management system (BSM)</w:t>
            </w:r>
          </w:p>
        </w:tc>
        <w:tc>
          <w:tcPr>
            <w:tcW w:w="2433" w:type="dxa"/>
            <w:vAlign w:val="center"/>
            <w:hideMark/>
          </w:tcPr>
          <w:p w14:paraId="373E502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 BSM Console</w:t>
            </w:r>
          </w:p>
        </w:tc>
      </w:tr>
      <w:tr w:rsidR="00444BB0" w:rsidRPr="00640B84" w14:paraId="6063317D" w14:textId="77777777" w:rsidTr="00260783">
        <w:trPr>
          <w:tblCellSpacing w:w="15" w:type="dxa"/>
        </w:trPr>
        <w:tc>
          <w:tcPr>
            <w:tcW w:w="0" w:type="auto"/>
            <w:vAlign w:val="center"/>
            <w:hideMark/>
          </w:tcPr>
          <w:p w14:paraId="4E87701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Sponsor</w:t>
            </w:r>
          </w:p>
        </w:tc>
        <w:tc>
          <w:tcPr>
            <w:tcW w:w="4204" w:type="dxa"/>
            <w:vAlign w:val="center"/>
            <w:hideMark/>
          </w:tcPr>
          <w:p w14:paraId="3CE4936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Organization or company supporting the trial, including financial, drug supply, data management, etc.</w:t>
            </w:r>
          </w:p>
        </w:tc>
        <w:tc>
          <w:tcPr>
            <w:tcW w:w="2433" w:type="dxa"/>
            <w:vAlign w:val="center"/>
            <w:hideMark/>
          </w:tcPr>
          <w:p w14:paraId="27F796D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728C00D2" w14:textId="77777777" w:rsidTr="00260783">
        <w:trPr>
          <w:tblCellSpacing w:w="15" w:type="dxa"/>
        </w:trPr>
        <w:tc>
          <w:tcPr>
            <w:tcW w:w="0" w:type="auto"/>
            <w:vAlign w:val="center"/>
            <w:hideMark/>
          </w:tcPr>
          <w:p w14:paraId="586E71C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Staff</w:t>
            </w:r>
          </w:p>
        </w:tc>
        <w:tc>
          <w:tcPr>
            <w:tcW w:w="4204" w:type="dxa"/>
            <w:vAlign w:val="center"/>
            <w:hideMark/>
          </w:tcPr>
          <w:p w14:paraId="200F082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List of team member contacts for the protocol.</w:t>
            </w:r>
          </w:p>
        </w:tc>
        <w:tc>
          <w:tcPr>
            <w:tcW w:w="2433" w:type="dxa"/>
            <w:vAlign w:val="center"/>
            <w:hideMark/>
          </w:tcPr>
          <w:p w14:paraId="7BB8907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2E8F9778" w14:textId="77777777" w:rsidTr="00260783">
        <w:trPr>
          <w:tblCellSpacing w:w="15" w:type="dxa"/>
        </w:trPr>
        <w:tc>
          <w:tcPr>
            <w:tcW w:w="0" w:type="auto"/>
            <w:vAlign w:val="center"/>
            <w:hideMark/>
          </w:tcPr>
          <w:p w14:paraId="00086A69"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Study Information Portal (SIP)</w:t>
            </w:r>
          </w:p>
        </w:tc>
        <w:tc>
          <w:tcPr>
            <w:tcW w:w="4204" w:type="dxa"/>
            <w:vAlign w:val="center"/>
            <w:hideMark/>
          </w:tcPr>
          <w:p w14:paraId="5DE6E3D5" w14:textId="0FBFB7FC"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Study Information Portal public website. </w:t>
            </w:r>
          </w:p>
        </w:tc>
        <w:tc>
          <w:tcPr>
            <w:tcW w:w="2433" w:type="dxa"/>
            <w:vAlign w:val="center"/>
            <w:hideMark/>
          </w:tcPr>
          <w:p w14:paraId="7DBF4A3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SIP Console</w:t>
            </w:r>
          </w:p>
        </w:tc>
      </w:tr>
      <w:tr w:rsidR="00444BB0" w:rsidRPr="00640B84" w14:paraId="7A0821B6" w14:textId="77777777" w:rsidTr="00260783">
        <w:trPr>
          <w:tblCellSpacing w:w="15" w:type="dxa"/>
        </w:trPr>
        <w:tc>
          <w:tcPr>
            <w:tcW w:w="0" w:type="auto"/>
            <w:vAlign w:val="center"/>
            <w:hideMark/>
          </w:tcPr>
          <w:p w14:paraId="55B2AEE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Study Site</w:t>
            </w:r>
          </w:p>
        </w:tc>
        <w:tc>
          <w:tcPr>
            <w:tcW w:w="4204" w:type="dxa"/>
            <w:vAlign w:val="center"/>
            <w:hideMark/>
          </w:tcPr>
          <w:p w14:paraId="42EDE695" w14:textId="367C0F61"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Location associated within an Institution where subjects will be treated. In </w:t>
            </w:r>
            <w:r w:rsidR="004C0480">
              <w:rPr>
                <w:rFonts w:ascii="Times New Roman" w:eastAsia="Times New Roman" w:hAnsi="Times New Roman" w:cs="Times New Roman"/>
                <w:sz w:val="24"/>
                <w:szCs w:val="24"/>
              </w:rPr>
              <w:t>Emory</w:t>
            </w:r>
            <w:r w:rsidRPr="00640B84">
              <w:rPr>
                <w:rFonts w:ascii="Times New Roman" w:eastAsia="Times New Roman" w:hAnsi="Times New Roman" w:cs="Times New Roman"/>
                <w:sz w:val="24"/>
                <w:szCs w:val="24"/>
              </w:rPr>
              <w:t xml:space="preserve"> OnCore, </w:t>
            </w:r>
            <w:r w:rsidR="004C0480">
              <w:rPr>
                <w:rFonts w:ascii="Times New Roman" w:eastAsia="Times New Roman" w:hAnsi="Times New Roman" w:cs="Times New Roman"/>
                <w:sz w:val="24"/>
                <w:szCs w:val="24"/>
              </w:rPr>
              <w:t>Emory</w:t>
            </w:r>
            <w:r w:rsidRPr="00640B84">
              <w:rPr>
                <w:rFonts w:ascii="Times New Roman" w:eastAsia="Times New Roman" w:hAnsi="Times New Roman" w:cs="Times New Roman"/>
                <w:sz w:val="24"/>
                <w:szCs w:val="24"/>
              </w:rPr>
              <w:t xml:space="preserve"> has </w:t>
            </w:r>
            <w:r w:rsidR="004C0480">
              <w:rPr>
                <w:rFonts w:ascii="Times New Roman" w:eastAsia="Times New Roman" w:hAnsi="Times New Roman" w:cs="Times New Roman"/>
                <w:sz w:val="24"/>
                <w:szCs w:val="24"/>
              </w:rPr>
              <w:t>multiple sites.</w:t>
            </w:r>
          </w:p>
        </w:tc>
        <w:tc>
          <w:tcPr>
            <w:tcW w:w="2433" w:type="dxa"/>
            <w:vAlign w:val="center"/>
            <w:hideMark/>
          </w:tcPr>
          <w:p w14:paraId="3BB3C13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PC Console</w:t>
            </w:r>
          </w:p>
        </w:tc>
      </w:tr>
      <w:tr w:rsidR="00444BB0" w:rsidRPr="00640B84" w14:paraId="1597CEF1" w14:textId="77777777" w:rsidTr="00260783">
        <w:trPr>
          <w:tblCellSpacing w:w="15" w:type="dxa"/>
        </w:trPr>
        <w:tc>
          <w:tcPr>
            <w:tcW w:w="0" w:type="auto"/>
            <w:vAlign w:val="center"/>
            <w:hideMark/>
          </w:tcPr>
          <w:p w14:paraId="25022EF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Submitter</w:t>
            </w:r>
          </w:p>
        </w:tc>
        <w:tc>
          <w:tcPr>
            <w:tcW w:w="4204" w:type="dxa"/>
            <w:vAlign w:val="center"/>
            <w:hideMark/>
          </w:tcPr>
          <w:p w14:paraId="5FCF95B6"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staff (on behalf of a Principal Investigator) entering and submitting a new protocol and associated documents to the PRMC (Protocol Review and Monitoring Committee) or OCR for review.</w:t>
            </w:r>
          </w:p>
        </w:tc>
        <w:tc>
          <w:tcPr>
            <w:tcW w:w="2433" w:type="dxa"/>
            <w:vAlign w:val="center"/>
            <w:hideMark/>
          </w:tcPr>
          <w:p w14:paraId="39AF4FD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Staff Role</w:t>
            </w:r>
          </w:p>
        </w:tc>
      </w:tr>
      <w:tr w:rsidR="00444BB0" w:rsidRPr="00640B84" w14:paraId="1B55E627" w14:textId="77777777" w:rsidTr="00260783">
        <w:trPr>
          <w:tblCellSpacing w:w="15" w:type="dxa"/>
        </w:trPr>
        <w:tc>
          <w:tcPr>
            <w:tcW w:w="0" w:type="auto"/>
            <w:vAlign w:val="center"/>
            <w:hideMark/>
          </w:tcPr>
          <w:p w14:paraId="7BEABE7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Summary 3</w:t>
            </w:r>
          </w:p>
        </w:tc>
        <w:tc>
          <w:tcPr>
            <w:tcW w:w="4204" w:type="dxa"/>
            <w:vAlign w:val="center"/>
            <w:hideMark/>
          </w:tcPr>
          <w:p w14:paraId="779A40BC"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An NCI report that shows patient accrual data for a </w:t>
            </w:r>
            <w:proofErr w:type="gramStart"/>
            <w:r w:rsidRPr="00640B84">
              <w:rPr>
                <w:rFonts w:ascii="Times New Roman" w:eastAsia="Times New Roman" w:hAnsi="Times New Roman" w:cs="Times New Roman"/>
                <w:sz w:val="24"/>
                <w:szCs w:val="24"/>
              </w:rPr>
              <w:t>12 month</w:t>
            </w:r>
            <w:proofErr w:type="gramEnd"/>
            <w:r w:rsidRPr="00640B84">
              <w:rPr>
                <w:rFonts w:ascii="Times New Roman" w:eastAsia="Times New Roman" w:hAnsi="Times New Roman" w:cs="Times New Roman"/>
                <w:sz w:val="24"/>
                <w:szCs w:val="24"/>
              </w:rPr>
              <w:t xml:space="preserve"> period at an institution. The report includes data on cancer site, demographics, etc.</w:t>
            </w:r>
          </w:p>
        </w:tc>
        <w:tc>
          <w:tcPr>
            <w:tcW w:w="2433" w:type="dxa"/>
            <w:vAlign w:val="center"/>
            <w:hideMark/>
          </w:tcPr>
          <w:p w14:paraId="73B25438"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28B8E164" w14:textId="77777777" w:rsidTr="00260783">
        <w:trPr>
          <w:tblCellSpacing w:w="15" w:type="dxa"/>
        </w:trPr>
        <w:tc>
          <w:tcPr>
            <w:tcW w:w="0" w:type="auto"/>
            <w:vAlign w:val="center"/>
            <w:hideMark/>
          </w:tcPr>
          <w:p w14:paraId="496B18B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Summary Accrual</w:t>
            </w:r>
          </w:p>
        </w:tc>
        <w:tc>
          <w:tcPr>
            <w:tcW w:w="4204" w:type="dxa"/>
            <w:vAlign w:val="center"/>
            <w:hideMark/>
          </w:tcPr>
          <w:p w14:paraId="2CA1222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OnCore protocols can be set up so that patient accrual data is entered periodically “in bulk” rather than as individual patient registration and subject visit tracking. Summary Accrual </w:t>
            </w:r>
            <w:r w:rsidRPr="00640B84">
              <w:rPr>
                <w:rFonts w:ascii="Times New Roman" w:eastAsia="Times New Roman" w:hAnsi="Times New Roman" w:cs="Times New Roman"/>
                <w:sz w:val="24"/>
                <w:szCs w:val="24"/>
              </w:rPr>
              <w:lastRenderedPageBreak/>
              <w:t>protocols typically do not have a visit calendar set up.</w:t>
            </w:r>
          </w:p>
        </w:tc>
        <w:tc>
          <w:tcPr>
            <w:tcW w:w="2433" w:type="dxa"/>
            <w:vAlign w:val="center"/>
            <w:hideMark/>
          </w:tcPr>
          <w:p w14:paraId="3CA889BD"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lastRenderedPageBreak/>
              <w:t>PC Console</w:t>
            </w:r>
          </w:p>
        </w:tc>
      </w:tr>
      <w:tr w:rsidR="00444BB0" w:rsidRPr="00640B84" w14:paraId="276717DE" w14:textId="77777777" w:rsidTr="00260783">
        <w:trPr>
          <w:tblCellSpacing w:w="15" w:type="dxa"/>
        </w:trPr>
        <w:tc>
          <w:tcPr>
            <w:tcW w:w="0" w:type="auto"/>
            <w:vAlign w:val="center"/>
            <w:hideMark/>
          </w:tcPr>
          <w:p w14:paraId="57AB88F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Title</w:t>
            </w:r>
          </w:p>
        </w:tc>
        <w:tc>
          <w:tcPr>
            <w:tcW w:w="4204" w:type="dxa"/>
            <w:vAlign w:val="center"/>
            <w:hideMark/>
          </w:tcPr>
          <w:p w14:paraId="6AB2BBE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Identifies the full-length name of the protocol. The title populates to other pages within OnCore and is displayed in some reports. It is the only title used on the NCI Data Table 4 report. The Title and Short Title both populate the SIP Console.</w:t>
            </w:r>
          </w:p>
        </w:tc>
        <w:tc>
          <w:tcPr>
            <w:tcW w:w="2433" w:type="dxa"/>
            <w:vAlign w:val="center"/>
            <w:hideMark/>
          </w:tcPr>
          <w:p w14:paraId="65DE9781"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 xml:space="preserve">PC Console, SIP Console </w:t>
            </w:r>
          </w:p>
        </w:tc>
      </w:tr>
      <w:tr w:rsidR="00444BB0" w:rsidRPr="00640B84" w14:paraId="1599A765" w14:textId="77777777" w:rsidTr="00260783">
        <w:trPr>
          <w:tblCellSpacing w:w="15" w:type="dxa"/>
        </w:trPr>
        <w:tc>
          <w:tcPr>
            <w:tcW w:w="0" w:type="auto"/>
            <w:vAlign w:val="center"/>
            <w:hideMark/>
          </w:tcPr>
          <w:p w14:paraId="390B579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Tolerance</w:t>
            </w:r>
          </w:p>
        </w:tc>
        <w:tc>
          <w:tcPr>
            <w:tcW w:w="4204" w:type="dxa"/>
            <w:vAlign w:val="center"/>
            <w:hideMark/>
          </w:tcPr>
          <w:p w14:paraId="032D3C8B"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Visit Window</w:t>
            </w:r>
          </w:p>
        </w:tc>
        <w:tc>
          <w:tcPr>
            <w:tcW w:w="2433" w:type="dxa"/>
            <w:vAlign w:val="center"/>
            <w:hideMark/>
          </w:tcPr>
          <w:p w14:paraId="7978426F"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Calendars</w:t>
            </w:r>
          </w:p>
        </w:tc>
      </w:tr>
      <w:tr w:rsidR="00444BB0" w:rsidRPr="00640B84" w14:paraId="4601E4DE" w14:textId="77777777" w:rsidTr="00260783">
        <w:trPr>
          <w:tblCellSpacing w:w="15" w:type="dxa"/>
        </w:trPr>
        <w:tc>
          <w:tcPr>
            <w:tcW w:w="0" w:type="auto"/>
            <w:vAlign w:val="center"/>
            <w:hideMark/>
          </w:tcPr>
          <w:p w14:paraId="42B79D0A"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Toxicity</w:t>
            </w:r>
          </w:p>
        </w:tc>
        <w:tc>
          <w:tcPr>
            <w:tcW w:w="4204" w:type="dxa"/>
            <w:vAlign w:val="center"/>
            <w:hideMark/>
          </w:tcPr>
          <w:p w14:paraId="19107030"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Refers to harmful side effects caused by the agent or intervention being tested.</w:t>
            </w:r>
          </w:p>
        </w:tc>
        <w:tc>
          <w:tcPr>
            <w:tcW w:w="2433" w:type="dxa"/>
            <w:vAlign w:val="center"/>
            <w:hideMark/>
          </w:tcPr>
          <w:p w14:paraId="26AC95F7" w14:textId="77777777" w:rsidR="00640B84" w:rsidRPr="00640B84" w:rsidRDefault="00640B84" w:rsidP="00640B84">
            <w:pPr>
              <w:spacing w:after="0" w:line="240" w:lineRule="auto"/>
              <w:rPr>
                <w:rFonts w:ascii="Times New Roman" w:eastAsia="Times New Roman" w:hAnsi="Times New Roman" w:cs="Times New Roman"/>
                <w:sz w:val="24"/>
                <w:szCs w:val="24"/>
              </w:rPr>
            </w:pPr>
          </w:p>
        </w:tc>
      </w:tr>
      <w:tr w:rsidR="00444BB0" w:rsidRPr="00640B84" w14:paraId="7F215253" w14:textId="77777777" w:rsidTr="00260783">
        <w:trPr>
          <w:tblCellSpacing w:w="15" w:type="dxa"/>
        </w:trPr>
        <w:tc>
          <w:tcPr>
            <w:tcW w:w="0" w:type="auto"/>
            <w:vAlign w:val="center"/>
            <w:hideMark/>
          </w:tcPr>
          <w:p w14:paraId="51B6051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Treating Physician</w:t>
            </w:r>
          </w:p>
        </w:tc>
        <w:tc>
          <w:tcPr>
            <w:tcW w:w="4204" w:type="dxa"/>
            <w:vAlign w:val="center"/>
            <w:hideMark/>
          </w:tcPr>
          <w:p w14:paraId="4EED5702"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The physician that is treating the subject while they are on the study.</w:t>
            </w:r>
          </w:p>
        </w:tc>
        <w:tc>
          <w:tcPr>
            <w:tcW w:w="2433" w:type="dxa"/>
            <w:vAlign w:val="center"/>
            <w:hideMark/>
          </w:tcPr>
          <w:p w14:paraId="022FCEE8"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Staff Role</w:t>
            </w:r>
          </w:p>
        </w:tc>
      </w:tr>
      <w:tr w:rsidR="00444BB0" w:rsidRPr="00640B84" w14:paraId="6CD22605" w14:textId="77777777" w:rsidTr="00260783">
        <w:trPr>
          <w:tblCellSpacing w:w="15" w:type="dxa"/>
        </w:trPr>
        <w:tc>
          <w:tcPr>
            <w:tcW w:w="0" w:type="auto"/>
            <w:vAlign w:val="center"/>
            <w:hideMark/>
          </w:tcPr>
          <w:p w14:paraId="3C603543"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User Record</w:t>
            </w:r>
          </w:p>
        </w:tc>
        <w:tc>
          <w:tcPr>
            <w:tcW w:w="4204" w:type="dxa"/>
            <w:vAlign w:val="center"/>
            <w:hideMark/>
          </w:tcPr>
          <w:p w14:paraId="51E82687"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User Records are activated for team members who need to log into OnCore.</w:t>
            </w:r>
          </w:p>
        </w:tc>
        <w:tc>
          <w:tcPr>
            <w:tcW w:w="2433" w:type="dxa"/>
            <w:vAlign w:val="center"/>
            <w:hideMark/>
          </w:tcPr>
          <w:p w14:paraId="521AE50E" w14:textId="77777777" w:rsidR="00640B84" w:rsidRPr="00640B84" w:rsidRDefault="00640B84" w:rsidP="00640B84">
            <w:pPr>
              <w:spacing w:after="0" w:line="240" w:lineRule="auto"/>
              <w:rPr>
                <w:rFonts w:ascii="Times New Roman" w:eastAsia="Times New Roman" w:hAnsi="Times New Roman" w:cs="Times New Roman"/>
                <w:sz w:val="24"/>
                <w:szCs w:val="24"/>
              </w:rPr>
            </w:pPr>
            <w:r w:rsidRPr="00640B84">
              <w:rPr>
                <w:rFonts w:ascii="Times New Roman" w:eastAsia="Times New Roman" w:hAnsi="Times New Roman" w:cs="Times New Roman"/>
                <w:sz w:val="24"/>
                <w:szCs w:val="24"/>
              </w:rPr>
              <w:t>Access</w:t>
            </w:r>
          </w:p>
        </w:tc>
      </w:tr>
    </w:tbl>
    <w:p w14:paraId="4E25423D" w14:textId="77777777" w:rsidR="00640B84" w:rsidRDefault="00640B84"/>
    <w:sectPr w:rsidR="00640B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D91E" w14:textId="77777777" w:rsidR="00260783" w:rsidRDefault="00260783" w:rsidP="00260783">
      <w:pPr>
        <w:spacing w:after="0" w:line="240" w:lineRule="auto"/>
      </w:pPr>
      <w:r>
        <w:separator/>
      </w:r>
    </w:p>
  </w:endnote>
  <w:endnote w:type="continuationSeparator" w:id="0">
    <w:p w14:paraId="4FBEE9E0" w14:textId="77777777" w:rsidR="00260783" w:rsidRDefault="00260783" w:rsidP="0026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C4DE" w14:textId="77777777" w:rsidR="00260783" w:rsidRDefault="00260783" w:rsidP="00260783">
      <w:pPr>
        <w:spacing w:after="0" w:line="240" w:lineRule="auto"/>
      </w:pPr>
      <w:r>
        <w:separator/>
      </w:r>
    </w:p>
  </w:footnote>
  <w:footnote w:type="continuationSeparator" w:id="0">
    <w:p w14:paraId="307BE6F5" w14:textId="77777777" w:rsidR="00260783" w:rsidRDefault="00260783" w:rsidP="0026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5DEF" w14:textId="22538BCF" w:rsidR="00260783" w:rsidRDefault="003F2127">
    <w:pPr>
      <w:pStyle w:val="Heade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3FE035" wp14:editId="336715B5">
              <wp:simplePos x="0" y="0"/>
              <wp:positionH relativeFrom="column">
                <wp:posOffset>4737100</wp:posOffset>
              </wp:positionH>
              <wp:positionV relativeFrom="paragraph">
                <wp:posOffset>-101600</wp:posOffset>
              </wp:positionV>
              <wp:extent cx="1644650" cy="501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4650" cy="501650"/>
                      </a:xfrm>
                      <a:prstGeom prst="rect">
                        <a:avLst/>
                      </a:prstGeom>
                      <a:noFill/>
                      <a:ln w="6350">
                        <a:noFill/>
                      </a:ln>
                    </wps:spPr>
                    <wps:txbx>
                      <w:txbxContent>
                        <w:p w14:paraId="0B616AC3" w14:textId="7A275365" w:rsidR="003F2127" w:rsidRDefault="003F2127">
                          <w:r w:rsidRPr="003F2127">
                            <w:rPr>
                              <w:noProof/>
                            </w:rPr>
                            <w:drawing>
                              <wp:inline distT="0" distB="0" distL="0" distR="0" wp14:anchorId="51B749AB" wp14:editId="497749A3">
                                <wp:extent cx="954615" cy="2603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971586" cy="2649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3FE035" id="_x0000_t202" coordsize="21600,21600" o:spt="202" path="m,l,21600r21600,l21600,xe">
              <v:stroke joinstyle="miter"/>
              <v:path gradientshapeok="t" o:connecttype="rect"/>
            </v:shapetype>
            <v:shape id="Text Box 7" o:spid="_x0000_s1026" type="#_x0000_t202" style="position:absolute;margin-left:373pt;margin-top:-8pt;width:129.5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" filled="f" stroked="f" strokeweight=".5pt">
              <v:textbox>
                <w:txbxContent>
                  <w:p w14:paraId="0B616AC3" w14:textId="7A275365" w:rsidR="003F2127" w:rsidRDefault="003F2127">
                    <w:r w:rsidRPr="003F2127">
                      <w:drawing>
                        <wp:inline distT="0" distB="0" distL="0" distR="0" wp14:anchorId="51B749AB" wp14:editId="497749A3">
                          <wp:extent cx="954615" cy="2603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971586" cy="264978"/>
                                  </a:xfrm>
                                  <a:prstGeom prst="rect">
                                    <a:avLst/>
                                  </a:prstGeom>
                                </pic:spPr>
                              </pic:pic>
                            </a:graphicData>
                          </a:graphic>
                        </wp:inline>
                      </w:drawing>
                    </w:r>
                  </w:p>
                </w:txbxContent>
              </v:textbox>
            </v:shape>
          </w:pict>
        </mc:Fallback>
      </mc:AlternateContent>
    </w:r>
    <w:r w:rsidR="00260783">
      <w:rPr>
        <w:rFonts w:ascii="Times New Roman" w:eastAsia="Times New Roman" w:hAnsi="Times New Roman" w:cs="Times New Roman"/>
        <w:noProof/>
        <w:sz w:val="24"/>
        <w:szCs w:val="24"/>
      </w:rPr>
      <w:drawing>
        <wp:inline distT="0" distB="0" distL="0" distR="0" wp14:anchorId="73C493AC" wp14:editId="7CD8C7D0">
          <wp:extent cx="2364676" cy="33585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2452639" cy="348345"/>
                  </a:xfrm>
                  <a:prstGeom prst="rect">
                    <a:avLst/>
                  </a:prstGeom>
                </pic:spPr>
              </pic:pic>
            </a:graphicData>
          </a:graphic>
        </wp:inline>
      </w:drawing>
    </w:r>
  </w:p>
  <w:p w14:paraId="1FDDBBD4" w14:textId="77777777" w:rsidR="00260783" w:rsidRDefault="0026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F0C"/>
    <w:multiLevelType w:val="multilevel"/>
    <w:tmpl w:val="984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102F6"/>
    <w:multiLevelType w:val="multilevel"/>
    <w:tmpl w:val="78C6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5140C"/>
    <w:multiLevelType w:val="multilevel"/>
    <w:tmpl w:val="6AB0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FC0ED9"/>
    <w:multiLevelType w:val="multilevel"/>
    <w:tmpl w:val="B4E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619287">
    <w:abstractNumId w:val="1"/>
  </w:num>
  <w:num w:numId="2" w16cid:durableId="464544011">
    <w:abstractNumId w:val="0"/>
  </w:num>
  <w:num w:numId="3" w16cid:durableId="927077743">
    <w:abstractNumId w:val="2"/>
  </w:num>
  <w:num w:numId="4" w16cid:durableId="1954897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7Y0NDWxNDIxNDFU0lEKTi0uzszPAykwrAUA5vHvEiwAAAA="/>
  </w:docVars>
  <w:rsids>
    <w:rsidRoot w:val="00640B84"/>
    <w:rsid w:val="00260783"/>
    <w:rsid w:val="003F2127"/>
    <w:rsid w:val="00444BB0"/>
    <w:rsid w:val="004C0480"/>
    <w:rsid w:val="00640B84"/>
    <w:rsid w:val="00885B47"/>
    <w:rsid w:val="008D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93B06"/>
  <w15:chartTrackingRefBased/>
  <w15:docId w15:val="{45A36F55-71AD-4816-81FF-9F1ED524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0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B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0B8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0B84"/>
    <w:rPr>
      <w:color w:val="0000FF"/>
      <w:u w:val="single"/>
    </w:rPr>
  </w:style>
  <w:style w:type="character" w:customStyle="1" w:styleId="fancylinktext">
    <w:name w:val="fancylink__text"/>
    <w:basedOn w:val="DefaultParagraphFont"/>
    <w:rsid w:val="00640B84"/>
  </w:style>
  <w:style w:type="character" w:customStyle="1" w:styleId="hide">
    <w:name w:val="hide"/>
    <w:basedOn w:val="DefaultParagraphFont"/>
    <w:rsid w:val="00640B84"/>
  </w:style>
  <w:style w:type="character" w:customStyle="1" w:styleId="sitetitle">
    <w:name w:val="site__title"/>
    <w:basedOn w:val="DefaultParagraphFont"/>
    <w:rsid w:val="00640B84"/>
  </w:style>
  <w:style w:type="character" w:customStyle="1" w:styleId="fs-i">
    <w:name w:val="fs-i"/>
    <w:basedOn w:val="DefaultParagraphFont"/>
    <w:rsid w:val="00640B84"/>
  </w:style>
  <w:style w:type="character" w:customStyle="1" w:styleId="d-b">
    <w:name w:val="d-b"/>
    <w:basedOn w:val="DefaultParagraphFont"/>
    <w:rsid w:val="00640B84"/>
  </w:style>
  <w:style w:type="character" w:customStyle="1" w:styleId="flex">
    <w:name w:val="flex"/>
    <w:basedOn w:val="DefaultParagraphFont"/>
    <w:rsid w:val="00640B84"/>
  </w:style>
  <w:style w:type="paragraph" w:customStyle="1" w:styleId="mainnavitem--level-1">
    <w:name w:val="mainnav__item--level-1"/>
    <w:basedOn w:val="Normal"/>
    <w:rsid w:val="006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navlinktext">
    <w:name w:val="mainnav__linktext"/>
    <w:basedOn w:val="DefaultParagraphFont"/>
    <w:rsid w:val="00640B84"/>
  </w:style>
  <w:style w:type="paragraph" w:customStyle="1" w:styleId="breadcrumbitem">
    <w:name w:val="breadcrumb__item"/>
    <w:basedOn w:val="Normal"/>
    <w:rsid w:val="0064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y-8">
    <w:name w:val="py-8"/>
    <w:basedOn w:val="DefaultParagraphFont"/>
    <w:rsid w:val="00640B84"/>
  </w:style>
  <w:style w:type="character" w:customStyle="1" w:styleId="breadcrumblink">
    <w:name w:val="breadcrumb__link"/>
    <w:basedOn w:val="DefaultParagraphFont"/>
    <w:rsid w:val="00640B84"/>
  </w:style>
  <w:style w:type="paragraph" w:styleId="NormalWeb">
    <w:name w:val="Normal (Web)"/>
    <w:basedOn w:val="Normal"/>
    <w:uiPriority w:val="99"/>
    <w:semiHidden/>
    <w:unhideWhenUsed/>
    <w:rsid w:val="0064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b">
    <w:name w:val="d-ib"/>
    <w:basedOn w:val="Normal"/>
    <w:rsid w:val="0064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8">
    <w:name w:val="my-8"/>
    <w:basedOn w:val="Normal"/>
    <w:rsid w:val="00640B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0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83"/>
  </w:style>
  <w:style w:type="paragraph" w:styleId="Footer">
    <w:name w:val="footer"/>
    <w:basedOn w:val="Normal"/>
    <w:link w:val="FooterChar"/>
    <w:uiPriority w:val="99"/>
    <w:unhideWhenUsed/>
    <w:rsid w:val="00260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83"/>
  </w:style>
  <w:style w:type="character" w:styleId="UnresolvedMention">
    <w:name w:val="Unresolved Mention"/>
    <w:basedOn w:val="DefaultParagraphFont"/>
    <w:uiPriority w:val="99"/>
    <w:semiHidden/>
    <w:unhideWhenUsed/>
    <w:rsid w:val="0044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6734">
      <w:bodyDiv w:val="1"/>
      <w:marLeft w:val="0"/>
      <w:marRight w:val="0"/>
      <w:marTop w:val="0"/>
      <w:marBottom w:val="0"/>
      <w:divBdr>
        <w:top w:val="none" w:sz="0" w:space="0" w:color="auto"/>
        <w:left w:val="none" w:sz="0" w:space="0" w:color="auto"/>
        <w:bottom w:val="none" w:sz="0" w:space="0" w:color="auto"/>
        <w:right w:val="none" w:sz="0" w:space="0" w:color="auto"/>
      </w:divBdr>
      <w:divsChild>
        <w:div w:id="1341084850">
          <w:marLeft w:val="0"/>
          <w:marRight w:val="0"/>
          <w:marTop w:val="0"/>
          <w:marBottom w:val="0"/>
          <w:divBdr>
            <w:top w:val="none" w:sz="0" w:space="0" w:color="auto"/>
            <w:left w:val="none" w:sz="0" w:space="0" w:color="auto"/>
            <w:bottom w:val="none" w:sz="0" w:space="0" w:color="auto"/>
            <w:right w:val="none" w:sz="0" w:space="0" w:color="auto"/>
          </w:divBdr>
          <w:divsChild>
            <w:div w:id="204418076">
              <w:marLeft w:val="0"/>
              <w:marRight w:val="0"/>
              <w:marTop w:val="0"/>
              <w:marBottom w:val="0"/>
              <w:divBdr>
                <w:top w:val="none" w:sz="0" w:space="0" w:color="auto"/>
                <w:left w:val="none" w:sz="0" w:space="0" w:color="auto"/>
                <w:bottom w:val="none" w:sz="0" w:space="0" w:color="auto"/>
                <w:right w:val="none" w:sz="0" w:space="0" w:color="auto"/>
              </w:divBdr>
              <w:divsChild>
                <w:div w:id="1399286077">
                  <w:marLeft w:val="0"/>
                  <w:marRight w:val="0"/>
                  <w:marTop w:val="0"/>
                  <w:marBottom w:val="0"/>
                  <w:divBdr>
                    <w:top w:val="none" w:sz="0" w:space="0" w:color="auto"/>
                    <w:left w:val="none" w:sz="0" w:space="0" w:color="auto"/>
                    <w:bottom w:val="none" w:sz="0" w:space="0" w:color="auto"/>
                    <w:right w:val="none" w:sz="0" w:space="0" w:color="auto"/>
                  </w:divBdr>
                </w:div>
                <w:div w:id="888371667">
                  <w:marLeft w:val="0"/>
                  <w:marRight w:val="0"/>
                  <w:marTop w:val="0"/>
                  <w:marBottom w:val="0"/>
                  <w:divBdr>
                    <w:top w:val="none" w:sz="0" w:space="0" w:color="auto"/>
                    <w:left w:val="none" w:sz="0" w:space="0" w:color="auto"/>
                    <w:bottom w:val="none" w:sz="0" w:space="0" w:color="auto"/>
                    <w:right w:val="none" w:sz="0" w:space="0" w:color="auto"/>
                  </w:divBdr>
                  <w:divsChild>
                    <w:div w:id="33239439">
                      <w:marLeft w:val="0"/>
                      <w:marRight w:val="0"/>
                      <w:marTop w:val="0"/>
                      <w:marBottom w:val="0"/>
                      <w:divBdr>
                        <w:top w:val="none" w:sz="0" w:space="0" w:color="auto"/>
                        <w:left w:val="none" w:sz="0" w:space="0" w:color="auto"/>
                        <w:bottom w:val="none" w:sz="0" w:space="0" w:color="auto"/>
                        <w:right w:val="none" w:sz="0" w:space="0" w:color="auto"/>
                      </w:divBdr>
                    </w:div>
                    <w:div w:id="300234510">
                      <w:marLeft w:val="0"/>
                      <w:marRight w:val="0"/>
                      <w:marTop w:val="0"/>
                      <w:marBottom w:val="0"/>
                      <w:divBdr>
                        <w:top w:val="none" w:sz="0" w:space="0" w:color="auto"/>
                        <w:left w:val="none" w:sz="0" w:space="0" w:color="auto"/>
                        <w:bottom w:val="none" w:sz="0" w:space="0" w:color="auto"/>
                        <w:right w:val="none" w:sz="0" w:space="0" w:color="auto"/>
                      </w:divBdr>
                      <w:divsChild>
                        <w:div w:id="1378432775">
                          <w:marLeft w:val="0"/>
                          <w:marRight w:val="0"/>
                          <w:marTop w:val="0"/>
                          <w:marBottom w:val="0"/>
                          <w:divBdr>
                            <w:top w:val="none" w:sz="0" w:space="0" w:color="auto"/>
                            <w:left w:val="none" w:sz="0" w:space="0" w:color="auto"/>
                            <w:bottom w:val="none" w:sz="0" w:space="0" w:color="auto"/>
                            <w:right w:val="none" w:sz="0" w:space="0" w:color="auto"/>
                          </w:divBdr>
                          <w:divsChild>
                            <w:div w:id="1437871740">
                              <w:marLeft w:val="0"/>
                              <w:marRight w:val="0"/>
                              <w:marTop w:val="0"/>
                              <w:marBottom w:val="0"/>
                              <w:divBdr>
                                <w:top w:val="none" w:sz="0" w:space="0" w:color="auto"/>
                                <w:left w:val="none" w:sz="0" w:space="0" w:color="auto"/>
                                <w:bottom w:val="none" w:sz="0" w:space="0" w:color="auto"/>
                                <w:right w:val="none" w:sz="0" w:space="0" w:color="auto"/>
                              </w:divBdr>
                              <w:divsChild>
                                <w:div w:id="12196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46153">
                  <w:marLeft w:val="0"/>
                  <w:marRight w:val="0"/>
                  <w:marTop w:val="0"/>
                  <w:marBottom w:val="0"/>
                  <w:divBdr>
                    <w:top w:val="none" w:sz="0" w:space="0" w:color="auto"/>
                    <w:left w:val="none" w:sz="0" w:space="0" w:color="auto"/>
                    <w:bottom w:val="none" w:sz="0" w:space="0" w:color="auto"/>
                    <w:right w:val="none" w:sz="0" w:space="0" w:color="auto"/>
                  </w:divBdr>
                  <w:divsChild>
                    <w:div w:id="12379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3298">
          <w:marLeft w:val="0"/>
          <w:marRight w:val="0"/>
          <w:marTop w:val="0"/>
          <w:marBottom w:val="0"/>
          <w:divBdr>
            <w:top w:val="none" w:sz="0" w:space="0" w:color="auto"/>
            <w:left w:val="none" w:sz="0" w:space="0" w:color="auto"/>
            <w:bottom w:val="none" w:sz="0" w:space="0" w:color="auto"/>
            <w:right w:val="none" w:sz="0" w:space="0" w:color="auto"/>
          </w:divBdr>
          <w:divsChild>
            <w:div w:id="1242985332">
              <w:marLeft w:val="0"/>
              <w:marRight w:val="0"/>
              <w:marTop w:val="0"/>
              <w:marBottom w:val="0"/>
              <w:divBdr>
                <w:top w:val="none" w:sz="0" w:space="0" w:color="auto"/>
                <w:left w:val="none" w:sz="0" w:space="0" w:color="auto"/>
                <w:bottom w:val="none" w:sz="0" w:space="0" w:color="auto"/>
                <w:right w:val="none" w:sz="0" w:space="0" w:color="auto"/>
              </w:divBdr>
              <w:divsChild>
                <w:div w:id="1001741153">
                  <w:marLeft w:val="0"/>
                  <w:marRight w:val="0"/>
                  <w:marTop w:val="0"/>
                  <w:marBottom w:val="0"/>
                  <w:divBdr>
                    <w:top w:val="none" w:sz="0" w:space="0" w:color="auto"/>
                    <w:left w:val="none" w:sz="0" w:space="0" w:color="auto"/>
                    <w:bottom w:val="none" w:sz="0" w:space="0" w:color="auto"/>
                    <w:right w:val="none" w:sz="0" w:space="0" w:color="auto"/>
                  </w:divBdr>
                  <w:divsChild>
                    <w:div w:id="20743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642">
              <w:marLeft w:val="0"/>
              <w:marRight w:val="0"/>
              <w:marTop w:val="0"/>
              <w:marBottom w:val="0"/>
              <w:divBdr>
                <w:top w:val="none" w:sz="0" w:space="0" w:color="auto"/>
                <w:left w:val="none" w:sz="0" w:space="0" w:color="auto"/>
                <w:bottom w:val="none" w:sz="0" w:space="0" w:color="auto"/>
                <w:right w:val="none" w:sz="0" w:space="0" w:color="auto"/>
              </w:divBdr>
              <w:divsChild>
                <w:div w:id="1335185750">
                  <w:marLeft w:val="0"/>
                  <w:marRight w:val="0"/>
                  <w:marTop w:val="0"/>
                  <w:marBottom w:val="0"/>
                  <w:divBdr>
                    <w:top w:val="none" w:sz="0" w:space="0" w:color="auto"/>
                    <w:left w:val="none" w:sz="0" w:space="0" w:color="auto"/>
                    <w:bottom w:val="none" w:sz="0" w:space="0" w:color="auto"/>
                    <w:right w:val="none" w:sz="0" w:space="0" w:color="auto"/>
                  </w:divBdr>
                  <w:divsChild>
                    <w:div w:id="2052001391">
                      <w:marLeft w:val="0"/>
                      <w:marRight w:val="0"/>
                      <w:marTop w:val="0"/>
                      <w:marBottom w:val="0"/>
                      <w:divBdr>
                        <w:top w:val="none" w:sz="0" w:space="0" w:color="auto"/>
                        <w:left w:val="none" w:sz="0" w:space="0" w:color="auto"/>
                        <w:bottom w:val="none" w:sz="0" w:space="0" w:color="auto"/>
                        <w:right w:val="none" w:sz="0" w:space="0" w:color="auto"/>
                      </w:divBdr>
                    </w:div>
                  </w:divsChild>
                </w:div>
                <w:div w:id="1779252263">
                  <w:marLeft w:val="0"/>
                  <w:marRight w:val="0"/>
                  <w:marTop w:val="0"/>
                  <w:marBottom w:val="0"/>
                  <w:divBdr>
                    <w:top w:val="none" w:sz="0" w:space="0" w:color="auto"/>
                    <w:left w:val="none" w:sz="0" w:space="0" w:color="auto"/>
                    <w:bottom w:val="none" w:sz="0" w:space="0" w:color="auto"/>
                    <w:right w:val="none" w:sz="0" w:space="0" w:color="auto"/>
                  </w:divBdr>
                  <w:divsChild>
                    <w:div w:id="2016496551">
                      <w:marLeft w:val="0"/>
                      <w:marRight w:val="0"/>
                      <w:marTop w:val="0"/>
                      <w:marBottom w:val="0"/>
                      <w:divBdr>
                        <w:top w:val="none" w:sz="0" w:space="0" w:color="auto"/>
                        <w:left w:val="none" w:sz="0" w:space="0" w:color="auto"/>
                        <w:bottom w:val="none" w:sz="0" w:space="0" w:color="auto"/>
                        <w:right w:val="none" w:sz="0" w:space="0" w:color="auto"/>
                      </w:divBdr>
                      <w:divsChild>
                        <w:div w:id="716273789">
                          <w:marLeft w:val="0"/>
                          <w:marRight w:val="0"/>
                          <w:marTop w:val="0"/>
                          <w:marBottom w:val="0"/>
                          <w:divBdr>
                            <w:top w:val="none" w:sz="0" w:space="0" w:color="auto"/>
                            <w:left w:val="none" w:sz="0" w:space="0" w:color="auto"/>
                            <w:bottom w:val="none" w:sz="0" w:space="0" w:color="auto"/>
                            <w:right w:val="none" w:sz="0" w:space="0" w:color="auto"/>
                          </w:divBdr>
                          <w:divsChild>
                            <w:div w:id="1595892420">
                              <w:marLeft w:val="0"/>
                              <w:marRight w:val="0"/>
                              <w:marTop w:val="0"/>
                              <w:marBottom w:val="0"/>
                              <w:divBdr>
                                <w:top w:val="none" w:sz="0" w:space="0" w:color="auto"/>
                                <w:left w:val="none" w:sz="0" w:space="0" w:color="auto"/>
                                <w:bottom w:val="none" w:sz="0" w:space="0" w:color="auto"/>
                                <w:right w:val="none" w:sz="0" w:space="0" w:color="auto"/>
                              </w:divBdr>
                            </w:div>
                            <w:div w:id="6852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64477">
              <w:marLeft w:val="0"/>
              <w:marRight w:val="0"/>
              <w:marTop w:val="0"/>
              <w:marBottom w:val="0"/>
              <w:divBdr>
                <w:top w:val="none" w:sz="0" w:space="0" w:color="auto"/>
                <w:left w:val="none" w:sz="0" w:space="0" w:color="auto"/>
                <w:bottom w:val="none" w:sz="0" w:space="0" w:color="auto"/>
                <w:right w:val="none" w:sz="0" w:space="0" w:color="auto"/>
              </w:divBdr>
              <w:divsChild>
                <w:div w:id="99764916">
                  <w:marLeft w:val="0"/>
                  <w:marRight w:val="0"/>
                  <w:marTop w:val="0"/>
                  <w:marBottom w:val="0"/>
                  <w:divBdr>
                    <w:top w:val="none" w:sz="0" w:space="0" w:color="auto"/>
                    <w:left w:val="none" w:sz="0" w:space="0" w:color="auto"/>
                    <w:bottom w:val="none" w:sz="0" w:space="0" w:color="auto"/>
                    <w:right w:val="none" w:sz="0" w:space="0" w:color="auto"/>
                  </w:divBdr>
                  <w:divsChild>
                    <w:div w:id="19035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733">
              <w:marLeft w:val="0"/>
              <w:marRight w:val="0"/>
              <w:marTop w:val="0"/>
              <w:marBottom w:val="0"/>
              <w:divBdr>
                <w:top w:val="none" w:sz="0" w:space="0" w:color="auto"/>
                <w:left w:val="none" w:sz="0" w:space="0" w:color="auto"/>
                <w:bottom w:val="none" w:sz="0" w:space="0" w:color="auto"/>
                <w:right w:val="none" w:sz="0" w:space="0" w:color="auto"/>
              </w:divBdr>
              <w:divsChild>
                <w:div w:id="1852791209">
                  <w:marLeft w:val="0"/>
                  <w:marRight w:val="0"/>
                  <w:marTop w:val="0"/>
                  <w:marBottom w:val="0"/>
                  <w:divBdr>
                    <w:top w:val="none" w:sz="0" w:space="0" w:color="auto"/>
                    <w:left w:val="none" w:sz="0" w:space="0" w:color="auto"/>
                    <w:bottom w:val="none" w:sz="0" w:space="0" w:color="auto"/>
                    <w:right w:val="none" w:sz="0" w:space="0" w:color="auto"/>
                  </w:divBdr>
                  <w:divsChild>
                    <w:div w:id="1467745327">
                      <w:marLeft w:val="0"/>
                      <w:marRight w:val="0"/>
                      <w:marTop w:val="0"/>
                      <w:marBottom w:val="0"/>
                      <w:divBdr>
                        <w:top w:val="none" w:sz="0" w:space="0" w:color="auto"/>
                        <w:left w:val="none" w:sz="0" w:space="0" w:color="auto"/>
                        <w:bottom w:val="none" w:sz="0" w:space="0" w:color="auto"/>
                        <w:right w:val="none" w:sz="0" w:space="0" w:color="auto"/>
                      </w:divBdr>
                      <w:divsChild>
                        <w:div w:id="2061782711">
                          <w:marLeft w:val="0"/>
                          <w:marRight w:val="0"/>
                          <w:marTop w:val="0"/>
                          <w:marBottom w:val="0"/>
                          <w:divBdr>
                            <w:top w:val="none" w:sz="0" w:space="0" w:color="auto"/>
                            <w:left w:val="none" w:sz="0" w:space="0" w:color="auto"/>
                            <w:bottom w:val="none" w:sz="0" w:space="0" w:color="auto"/>
                            <w:right w:val="none" w:sz="0" w:space="0" w:color="auto"/>
                          </w:divBdr>
                        </w:div>
                      </w:divsChild>
                    </w:div>
                    <w:div w:id="614560832">
                      <w:marLeft w:val="0"/>
                      <w:marRight w:val="0"/>
                      <w:marTop w:val="0"/>
                      <w:marBottom w:val="0"/>
                      <w:divBdr>
                        <w:top w:val="none" w:sz="0" w:space="0" w:color="auto"/>
                        <w:left w:val="none" w:sz="0" w:space="0" w:color="auto"/>
                        <w:bottom w:val="none" w:sz="0" w:space="0" w:color="auto"/>
                        <w:right w:val="none" w:sz="0" w:space="0" w:color="auto"/>
                      </w:divBdr>
                      <w:divsChild>
                        <w:div w:id="1590042554">
                          <w:marLeft w:val="0"/>
                          <w:marRight w:val="0"/>
                          <w:marTop w:val="0"/>
                          <w:marBottom w:val="0"/>
                          <w:divBdr>
                            <w:top w:val="none" w:sz="0" w:space="0" w:color="auto"/>
                            <w:left w:val="none" w:sz="0" w:space="0" w:color="auto"/>
                            <w:bottom w:val="none" w:sz="0" w:space="0" w:color="auto"/>
                            <w:right w:val="none" w:sz="0" w:space="0" w:color="auto"/>
                          </w:divBdr>
                          <w:divsChild>
                            <w:div w:id="364450217">
                              <w:marLeft w:val="0"/>
                              <w:marRight w:val="0"/>
                              <w:marTop w:val="0"/>
                              <w:marBottom w:val="0"/>
                              <w:divBdr>
                                <w:top w:val="none" w:sz="0" w:space="0" w:color="auto"/>
                                <w:left w:val="none" w:sz="0" w:space="0" w:color="auto"/>
                                <w:bottom w:val="none" w:sz="0" w:space="0" w:color="auto"/>
                                <w:right w:val="none" w:sz="0" w:space="0" w:color="auto"/>
                              </w:divBdr>
                            </w:div>
                            <w:div w:id="21456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3322">
              <w:marLeft w:val="0"/>
              <w:marRight w:val="0"/>
              <w:marTop w:val="0"/>
              <w:marBottom w:val="0"/>
              <w:divBdr>
                <w:top w:val="none" w:sz="0" w:space="0" w:color="auto"/>
                <w:left w:val="none" w:sz="0" w:space="0" w:color="auto"/>
                <w:bottom w:val="none" w:sz="0" w:space="0" w:color="auto"/>
                <w:right w:val="none" w:sz="0" w:space="0" w:color="auto"/>
              </w:divBdr>
              <w:divsChild>
                <w:div w:id="1561093310">
                  <w:marLeft w:val="0"/>
                  <w:marRight w:val="0"/>
                  <w:marTop w:val="0"/>
                  <w:marBottom w:val="0"/>
                  <w:divBdr>
                    <w:top w:val="none" w:sz="0" w:space="0" w:color="auto"/>
                    <w:left w:val="none" w:sz="0" w:space="0" w:color="auto"/>
                    <w:bottom w:val="none" w:sz="0" w:space="0" w:color="auto"/>
                    <w:right w:val="none" w:sz="0" w:space="0" w:color="auto"/>
                  </w:divBdr>
                  <w:divsChild>
                    <w:div w:id="576786279">
                      <w:marLeft w:val="0"/>
                      <w:marRight w:val="0"/>
                      <w:marTop w:val="0"/>
                      <w:marBottom w:val="0"/>
                      <w:divBdr>
                        <w:top w:val="none" w:sz="0" w:space="0" w:color="auto"/>
                        <w:left w:val="none" w:sz="0" w:space="0" w:color="auto"/>
                        <w:bottom w:val="none" w:sz="0" w:space="0" w:color="auto"/>
                        <w:right w:val="none" w:sz="0" w:space="0" w:color="auto"/>
                      </w:divBdr>
                      <w:divsChild>
                        <w:div w:id="1490294809">
                          <w:marLeft w:val="0"/>
                          <w:marRight w:val="0"/>
                          <w:marTop w:val="0"/>
                          <w:marBottom w:val="0"/>
                          <w:divBdr>
                            <w:top w:val="none" w:sz="0" w:space="0" w:color="auto"/>
                            <w:left w:val="none" w:sz="0" w:space="0" w:color="auto"/>
                            <w:bottom w:val="none" w:sz="0" w:space="0" w:color="auto"/>
                            <w:right w:val="none" w:sz="0" w:space="0" w:color="auto"/>
                          </w:divBdr>
                        </w:div>
                        <w:div w:id="17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R@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Bridget</dc:creator>
  <cp:keywords/>
  <dc:description/>
  <cp:lastModifiedBy>Strong, Bridget</cp:lastModifiedBy>
  <cp:revision>3</cp:revision>
  <dcterms:created xsi:type="dcterms:W3CDTF">2022-08-24T00:18:00Z</dcterms:created>
  <dcterms:modified xsi:type="dcterms:W3CDTF">2022-08-24T19:24:00Z</dcterms:modified>
</cp:coreProperties>
</file>